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FC9" w:rsidRPr="00107158" w:rsidRDefault="00A86FC9" w:rsidP="00A86FC9">
      <w:pPr>
        <w:pStyle w:val="NormalWeb"/>
        <w:shd w:val="clear" w:color="auto" w:fill="FFFFFF"/>
        <w:bidi/>
        <w:spacing w:before="0" w:beforeAutospacing="0" w:after="0" w:afterAutospacing="0" w:line="480" w:lineRule="auto"/>
        <w:jc w:val="center"/>
        <w:rPr>
          <w:rFonts w:ascii="IranSans" w:hAnsi="IranSans" w:cs="B Zar" w:hint="cs"/>
          <w:sz w:val="28"/>
          <w:szCs w:val="28"/>
          <w:shd w:val="clear" w:color="auto" w:fill="F9FCFD"/>
          <w:rtl/>
          <w:lang w:bidi="fa-IR"/>
        </w:rPr>
      </w:pPr>
      <w:r>
        <w:rPr>
          <w:rFonts w:ascii="IranSans" w:hAnsi="IranSans" w:cs="B Zar" w:hint="cs"/>
          <w:sz w:val="28"/>
          <w:szCs w:val="28"/>
          <w:shd w:val="clear" w:color="auto" w:fill="F9FCFD"/>
          <w:rtl/>
          <w:lang w:bidi="fa-IR"/>
        </w:rPr>
        <w:t>خ</w:t>
      </w:r>
      <w:bookmarkStart w:id="0" w:name="_GoBack"/>
      <w:bookmarkEnd w:id="0"/>
      <w:r>
        <w:rPr>
          <w:rFonts w:ascii="IranSans" w:hAnsi="IranSans" w:cs="B Zar" w:hint="cs"/>
          <w:sz w:val="28"/>
          <w:szCs w:val="28"/>
          <w:shd w:val="clear" w:color="auto" w:fill="F9FCFD"/>
          <w:rtl/>
          <w:lang w:bidi="fa-IR"/>
        </w:rPr>
        <w:t>لاصه مقاله</w:t>
      </w:r>
    </w:p>
    <w:p w:rsidR="00A86FC9" w:rsidRPr="00107158" w:rsidRDefault="00A86FC9" w:rsidP="00A86FC9">
      <w:pPr>
        <w:pStyle w:val="NormalWeb"/>
        <w:shd w:val="clear" w:color="auto" w:fill="FFFFFF"/>
        <w:bidi/>
        <w:spacing w:before="0" w:beforeAutospacing="0" w:after="0" w:afterAutospacing="0" w:line="480" w:lineRule="auto"/>
        <w:jc w:val="center"/>
        <w:rPr>
          <w:rFonts w:ascii="Tahoma" w:hAnsi="Tahoma" w:cs="B Zar"/>
          <w:b/>
          <w:bCs/>
          <w:sz w:val="28"/>
          <w:szCs w:val="28"/>
          <w:rtl/>
        </w:rPr>
      </w:pPr>
      <w:r w:rsidRPr="00107158">
        <w:rPr>
          <w:rFonts w:ascii="Tahoma" w:hAnsi="Tahoma" w:cs="B Zar" w:hint="cs"/>
          <w:b/>
          <w:bCs/>
          <w:sz w:val="28"/>
          <w:szCs w:val="28"/>
          <w:rtl/>
        </w:rPr>
        <w:t>مولفه های «حسن همجواری» ( اخلاق آپارتمان نشینی) از دیدگاه امام سجاد(ع)‌</w:t>
      </w:r>
    </w:p>
    <w:p w:rsidR="00A86FC9" w:rsidRPr="00107158" w:rsidRDefault="00A86FC9" w:rsidP="00A86FC9">
      <w:pPr>
        <w:pStyle w:val="NormalWeb"/>
        <w:shd w:val="clear" w:color="auto" w:fill="FFFFFF"/>
        <w:bidi/>
        <w:spacing w:before="0" w:beforeAutospacing="0" w:after="0" w:afterAutospacing="0" w:line="480" w:lineRule="auto"/>
        <w:jc w:val="center"/>
        <w:rPr>
          <w:rFonts w:ascii="Tahoma" w:hAnsi="Tahoma" w:cs="B Zar"/>
          <w:b/>
          <w:bCs/>
          <w:sz w:val="28"/>
          <w:szCs w:val="28"/>
          <w:rtl/>
        </w:rPr>
      </w:pPr>
      <w:r w:rsidRPr="00107158">
        <w:rPr>
          <w:rFonts w:ascii="Tahoma" w:hAnsi="Tahoma" w:cs="B Zar" w:hint="cs"/>
          <w:b/>
          <w:bCs/>
          <w:sz w:val="28"/>
          <w:szCs w:val="28"/>
          <w:rtl/>
        </w:rPr>
        <w:t>فاطمه وجدانی</w:t>
      </w:r>
      <w:r w:rsidRPr="00107158">
        <w:rPr>
          <w:rStyle w:val="FootnoteReference"/>
          <w:rFonts w:ascii="Tahoma" w:hAnsi="Tahoma" w:cs="B Zar"/>
          <w:b/>
          <w:bCs/>
          <w:sz w:val="28"/>
          <w:szCs w:val="28"/>
          <w:rtl/>
        </w:rPr>
        <w:footnoteReference w:id="1"/>
      </w:r>
    </w:p>
    <w:p w:rsidR="00A86FC9" w:rsidRPr="00107158" w:rsidRDefault="00A86FC9" w:rsidP="00A86FC9">
      <w:pPr>
        <w:pStyle w:val="NormalWeb"/>
        <w:shd w:val="clear" w:color="auto" w:fill="FFFFFF"/>
        <w:bidi/>
        <w:spacing w:before="0" w:beforeAutospacing="0" w:after="0" w:afterAutospacing="0" w:line="480" w:lineRule="auto"/>
        <w:jc w:val="both"/>
        <w:rPr>
          <w:rFonts w:ascii="Tahoma" w:hAnsi="Tahoma" w:cs="B Zar"/>
          <w:b/>
          <w:bCs/>
          <w:sz w:val="28"/>
          <w:szCs w:val="28"/>
          <w:rtl/>
        </w:rPr>
      </w:pPr>
    </w:p>
    <w:p w:rsidR="00A86FC9" w:rsidRPr="00107158" w:rsidRDefault="00A86FC9" w:rsidP="00A86FC9">
      <w:pPr>
        <w:pStyle w:val="NormalWeb"/>
        <w:shd w:val="clear" w:color="auto" w:fill="FFFFFF"/>
        <w:bidi/>
        <w:spacing w:before="0" w:beforeAutospacing="0" w:after="0" w:afterAutospacing="0" w:line="480" w:lineRule="auto"/>
        <w:jc w:val="both"/>
        <w:rPr>
          <w:rFonts w:ascii="Tahoma" w:hAnsi="Tahoma" w:cs="B Zar"/>
          <w:b/>
          <w:bCs/>
          <w:sz w:val="28"/>
          <w:szCs w:val="28"/>
          <w:rtl/>
        </w:rPr>
      </w:pPr>
      <w:r w:rsidRPr="00107158">
        <w:rPr>
          <w:rFonts w:ascii="Tahoma" w:hAnsi="Tahoma" w:cs="B Zar" w:hint="cs"/>
          <w:b/>
          <w:bCs/>
          <w:sz w:val="28"/>
          <w:szCs w:val="28"/>
          <w:rtl/>
        </w:rPr>
        <w:t xml:space="preserve">چکیده  </w:t>
      </w:r>
    </w:p>
    <w:p w:rsidR="00A86FC9" w:rsidRPr="00107158" w:rsidRDefault="00A86FC9" w:rsidP="00A86FC9">
      <w:pPr>
        <w:bidi/>
        <w:spacing w:after="0" w:line="480" w:lineRule="auto"/>
        <w:jc w:val="both"/>
        <w:rPr>
          <w:rFonts w:cs="B Zar"/>
          <w:sz w:val="28"/>
          <w:szCs w:val="28"/>
          <w:rtl/>
        </w:rPr>
      </w:pPr>
      <w:r w:rsidRPr="00107158">
        <w:rPr>
          <w:rFonts w:ascii="Tahoma" w:hAnsi="Tahoma" w:cs="B Zar"/>
          <w:b/>
          <w:bCs/>
          <w:sz w:val="28"/>
          <w:szCs w:val="28"/>
          <w:rtl/>
        </w:rPr>
        <w:t>هدف:</w:t>
      </w:r>
      <w:r w:rsidRPr="00107158">
        <w:rPr>
          <w:rFonts w:ascii="Tahoma" w:hAnsi="Tahoma" w:cs="B Zar"/>
          <w:sz w:val="28"/>
          <w:szCs w:val="28"/>
          <w:rtl/>
        </w:rPr>
        <w:t xml:space="preserve"> هدف از این پژوهش، شناسایی </w:t>
      </w:r>
      <w:r w:rsidRPr="00107158">
        <w:rPr>
          <w:rFonts w:ascii="Tahoma" w:hAnsi="Tahoma" w:cs="B Zar" w:hint="cs"/>
          <w:sz w:val="28"/>
          <w:szCs w:val="28"/>
          <w:rtl/>
        </w:rPr>
        <w:t xml:space="preserve">مولفه های حسن همجواری (‌با تاکید بر اخلاق آپارتمان نشینی)‌ از دیدگاه امام سجاد(ع) و سازماندهی این مولفه ها ‌بود. </w:t>
      </w:r>
      <w:r w:rsidRPr="00107158">
        <w:rPr>
          <w:rFonts w:ascii="Tahoma" w:hAnsi="Tahoma" w:cs="B Zar" w:hint="cs"/>
          <w:b/>
          <w:bCs/>
          <w:sz w:val="28"/>
          <w:szCs w:val="28"/>
          <w:rtl/>
        </w:rPr>
        <w:t>روش</w:t>
      </w:r>
      <w:r w:rsidRPr="00107158">
        <w:rPr>
          <w:rFonts w:ascii="Tahoma" w:hAnsi="Tahoma" w:cs="B Zar" w:hint="cs"/>
          <w:sz w:val="28"/>
          <w:szCs w:val="28"/>
          <w:rtl/>
        </w:rPr>
        <w:t>: روش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انجام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این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پژوهش،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تحلیل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اسنادی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به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شیوۀ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توصیفی</w:t>
      </w:r>
      <w:r w:rsidRPr="00107158">
        <w:rPr>
          <w:rFonts w:ascii="Tahoma" w:hAnsi="Tahoma" w:cs="B Zar"/>
          <w:sz w:val="28"/>
          <w:szCs w:val="28"/>
          <w:rtl/>
        </w:rPr>
        <w:t xml:space="preserve">- </w:t>
      </w:r>
      <w:r w:rsidRPr="00107158">
        <w:rPr>
          <w:rFonts w:ascii="Tahoma" w:hAnsi="Tahoma" w:cs="B Zar" w:hint="cs"/>
          <w:sz w:val="28"/>
          <w:szCs w:val="28"/>
          <w:rtl/>
        </w:rPr>
        <w:t>تحلیلی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بود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و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برای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این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منظور،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صحیفه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سجادیه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  <w:lang w:bidi="fa-IR"/>
        </w:rPr>
        <w:t xml:space="preserve">و </w:t>
      </w:r>
      <w:r w:rsidRPr="00107158">
        <w:rPr>
          <w:rFonts w:ascii="Tahoma" w:hAnsi="Tahoma" w:cs="B Zar" w:hint="cs"/>
          <w:sz w:val="28"/>
          <w:szCs w:val="28"/>
          <w:rtl/>
        </w:rPr>
        <w:t>رساله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حقوق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امام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سجاد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(ع)‌</w:t>
      </w:r>
      <w:r w:rsidRPr="00107158">
        <w:rPr>
          <w:rFonts w:ascii="Tahoma" w:hAnsi="Tahoma" w:cs="B Zar"/>
          <w:sz w:val="28"/>
          <w:szCs w:val="28"/>
          <w:rtl/>
        </w:rPr>
        <w:t xml:space="preserve"> ‌ </w:t>
      </w:r>
      <w:r w:rsidRPr="00107158">
        <w:rPr>
          <w:rFonts w:ascii="Tahoma" w:hAnsi="Tahoma" w:cs="B Zar" w:hint="cs"/>
          <w:sz w:val="28"/>
          <w:szCs w:val="28"/>
          <w:rtl/>
        </w:rPr>
        <w:t>مورد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بررسی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تحلیلی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>قرار</w:t>
      </w:r>
      <w:r w:rsidRPr="00107158">
        <w:rPr>
          <w:rFonts w:ascii="Tahoma" w:hAnsi="Tahoma" w:cs="B Zar"/>
          <w:sz w:val="28"/>
          <w:szCs w:val="28"/>
          <w:rtl/>
        </w:rPr>
        <w:t xml:space="preserve"> </w:t>
      </w:r>
      <w:r w:rsidRPr="00107158">
        <w:rPr>
          <w:rFonts w:ascii="Tahoma" w:hAnsi="Tahoma" w:cs="B Zar" w:hint="cs"/>
          <w:sz w:val="28"/>
          <w:szCs w:val="28"/>
          <w:rtl/>
        </w:rPr>
        <w:t xml:space="preserve">گرفت. </w:t>
      </w:r>
      <w:r w:rsidRPr="00107158">
        <w:rPr>
          <w:rFonts w:cs="B Zar" w:hint="cs"/>
          <w:b/>
          <w:bCs/>
          <w:sz w:val="28"/>
          <w:szCs w:val="28"/>
          <w:rtl/>
        </w:rPr>
        <w:t>یافته ها:</w:t>
      </w:r>
      <w:r w:rsidRPr="00107158">
        <w:rPr>
          <w:rFonts w:cs="B Zar" w:hint="cs"/>
          <w:sz w:val="28"/>
          <w:szCs w:val="28"/>
          <w:rtl/>
        </w:rPr>
        <w:t xml:space="preserve"> بر اساس یافته ها، ارزش های اخلاقی در حوزه همسایگی در نه  محور:  اخلاق عمومی همسایگی، اخلاق ورزی با همسایه گرفتار و بلا دیده، اخلاق ورزی در قبال همسایه نیکوکار، </w:t>
      </w:r>
      <w:r w:rsidRPr="00107158">
        <w:rPr>
          <w:rFonts w:cs="B Zar" w:hint="cs"/>
          <w:sz w:val="28"/>
          <w:szCs w:val="28"/>
          <w:rtl/>
          <w:lang w:bidi="fa-IR"/>
        </w:rPr>
        <w:t>اخلاق گله و شکایت از همسایه، اخلاق مشورت و همفکری بین همسایگان،</w:t>
      </w:r>
      <w:r w:rsidRPr="00107158">
        <w:rPr>
          <w:rFonts w:cs="B Zar" w:hint="cs"/>
          <w:sz w:val="28"/>
          <w:szCs w:val="28"/>
          <w:rtl/>
        </w:rPr>
        <w:t xml:space="preserve"> اخلاق ورزی در برابر همسایگان سالخورده، اخلاق مواجهه با کودکان همسایه،</w:t>
      </w:r>
      <w:r w:rsidRPr="00107158">
        <w:rPr>
          <w:rFonts w:cs="B Zar" w:hint="cs"/>
          <w:sz w:val="28"/>
          <w:szCs w:val="28"/>
          <w:rtl/>
          <w:lang w:bidi="fa-IR"/>
        </w:rPr>
        <w:t xml:space="preserve"> اخلاق برخورد با همسایه آسیب رسان و شرور، و</w:t>
      </w:r>
      <w:r w:rsidRPr="00107158">
        <w:rPr>
          <w:rFonts w:cs="B Zar" w:hint="cs"/>
          <w:sz w:val="28"/>
          <w:szCs w:val="28"/>
          <w:rtl/>
        </w:rPr>
        <w:t xml:space="preserve"> اخلاق مدیریت ساختمان استخراج و صورت بندی گردید. هم چنین، شش </w:t>
      </w:r>
      <w:r w:rsidRPr="00107158">
        <w:rPr>
          <w:rFonts w:cs="B Zar" w:hint="cs"/>
          <w:sz w:val="28"/>
          <w:szCs w:val="28"/>
          <w:rtl/>
        </w:rPr>
        <w:lastRenderedPageBreak/>
        <w:t>مولفه به عنوان</w:t>
      </w:r>
      <w:r w:rsidRPr="00107158">
        <w:rPr>
          <w:rFonts w:cs="B Zar" w:hint="cs"/>
          <w:sz w:val="28"/>
          <w:szCs w:val="28"/>
          <w:rtl/>
          <w:lang w:bidi="fa-IR"/>
        </w:rPr>
        <w:t xml:space="preserve"> پایه های اخلاق ورزی آپارتمانی شناسایی شد. </w:t>
      </w:r>
      <w:r w:rsidRPr="00107158">
        <w:rPr>
          <w:rFonts w:cs="B Zar" w:hint="cs"/>
          <w:b/>
          <w:bCs/>
          <w:sz w:val="28"/>
          <w:szCs w:val="28"/>
          <w:rtl/>
          <w:lang w:bidi="fa-IR"/>
        </w:rPr>
        <w:t>نتیجه</w:t>
      </w:r>
      <w:r w:rsidRPr="00107158">
        <w:rPr>
          <w:rFonts w:cs="B Zar" w:hint="cs"/>
          <w:sz w:val="28"/>
          <w:szCs w:val="28"/>
          <w:rtl/>
          <w:lang w:bidi="fa-IR"/>
        </w:rPr>
        <w:t>: این تحقیق ضرورت و فایده مندی تعمق در روایات ائمه اطهار(ع) را جهت تدوین نظام اخلاق شهروندی و احیای تعاملات اخلاق مدار در زندگی آپارتمان نششینی امروز را مورد تاکید قرار داد.</w:t>
      </w:r>
    </w:p>
    <w:p w:rsidR="00A86FC9" w:rsidRDefault="00A86FC9" w:rsidP="00A86FC9">
      <w:pPr>
        <w:pStyle w:val="NormalWeb"/>
        <w:shd w:val="clear" w:color="auto" w:fill="FFFFFF"/>
        <w:bidi/>
        <w:spacing w:before="0" w:beforeAutospacing="0" w:after="0" w:afterAutospacing="0" w:line="480" w:lineRule="auto"/>
        <w:jc w:val="both"/>
        <w:rPr>
          <w:rFonts w:ascii="Tahoma" w:hAnsi="Tahoma" w:cs="B Zar"/>
          <w:i/>
          <w:iCs/>
          <w:sz w:val="28"/>
          <w:szCs w:val="28"/>
        </w:rPr>
      </w:pPr>
      <w:r w:rsidRPr="00107158">
        <w:rPr>
          <w:rFonts w:ascii="Tahoma" w:hAnsi="Tahoma" w:cs="B Zar" w:hint="cs"/>
          <w:b/>
          <w:bCs/>
          <w:i/>
          <w:iCs/>
          <w:sz w:val="28"/>
          <w:szCs w:val="28"/>
          <w:rtl/>
        </w:rPr>
        <w:t xml:space="preserve">کلیدواژگان: </w:t>
      </w:r>
      <w:r w:rsidRPr="00107158">
        <w:rPr>
          <w:rFonts w:ascii="Tahoma" w:hAnsi="Tahoma" w:cs="B Zar" w:hint="cs"/>
          <w:i/>
          <w:iCs/>
          <w:sz w:val="28"/>
          <w:szCs w:val="28"/>
          <w:rtl/>
        </w:rPr>
        <w:t>اخلاق همسایگی، آپارتمان نشینی، امام سجاد(ع)، اخلاق شهروندی، صحیفه سجادیه، رساله حقوق</w:t>
      </w:r>
    </w:p>
    <w:p w:rsidR="00A86FC9" w:rsidRDefault="00A86FC9" w:rsidP="00A86FC9">
      <w:pPr>
        <w:pStyle w:val="NormalWeb"/>
        <w:jc w:val="center"/>
        <w:rPr>
          <w:rFonts w:asciiTheme="majorBidi" w:hAnsiTheme="majorBidi" w:cstheme="majorBidi"/>
          <w:b/>
          <w:bCs/>
          <w:sz w:val="26"/>
          <w:szCs w:val="26"/>
          <w:lang w:val="en"/>
        </w:rPr>
      </w:pPr>
      <w:r w:rsidRPr="0074689D">
        <w:rPr>
          <w:rFonts w:asciiTheme="majorBidi" w:hAnsiTheme="majorBidi" w:cstheme="majorBidi"/>
          <w:b/>
          <w:bCs/>
          <w:sz w:val="26"/>
          <w:szCs w:val="26"/>
          <w:lang w:val="en"/>
        </w:rPr>
        <w:t>The components of "good neighborhoods" (ethics</w:t>
      </w:r>
      <w:r>
        <w:rPr>
          <w:rFonts w:asciiTheme="majorBidi" w:hAnsiTheme="majorBidi" w:cstheme="majorBidi"/>
          <w:b/>
          <w:bCs/>
          <w:sz w:val="26"/>
          <w:szCs w:val="26"/>
          <w:lang w:val="en"/>
        </w:rPr>
        <w:t xml:space="preserve"> of liv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</w:rPr>
        <w:t>ing</w:t>
      </w:r>
      <w:proofErr w:type="spellEnd"/>
      <w:r w:rsidRPr="00683030">
        <w:rPr>
          <w:rFonts w:asciiTheme="majorBidi" w:hAnsiTheme="majorBidi" w:cstheme="majorBidi"/>
          <w:b/>
          <w:bCs/>
          <w:sz w:val="26"/>
          <w:szCs w:val="26"/>
          <w:lang w:val="en"/>
        </w:rPr>
        <w:t xml:space="preserve"> in the apartment</w:t>
      </w:r>
      <w:r w:rsidRPr="0074689D">
        <w:rPr>
          <w:rFonts w:asciiTheme="majorBidi" w:hAnsiTheme="majorBidi" w:cstheme="majorBidi"/>
          <w:b/>
          <w:bCs/>
          <w:sz w:val="26"/>
          <w:szCs w:val="26"/>
          <w:lang w:val="en"/>
        </w:rPr>
        <w:t xml:space="preserve">) </w:t>
      </w:r>
      <w:r w:rsidRPr="00683030">
        <w:rPr>
          <w:rFonts w:asciiTheme="majorBidi" w:hAnsiTheme="majorBidi" w:cstheme="majorBidi"/>
          <w:b/>
          <w:bCs/>
          <w:sz w:val="26"/>
          <w:szCs w:val="26"/>
          <w:lang w:val="en"/>
        </w:rPr>
        <w:t>from the viewpoint of Imam</w:t>
      </w:r>
      <w:r w:rsidRPr="00683030">
        <w:rPr>
          <w:rFonts w:asciiTheme="majorBidi" w:hAnsiTheme="majorBidi" w:cstheme="majorBidi"/>
          <w:b/>
          <w:bCs/>
          <w:sz w:val="26"/>
          <w:szCs w:val="26"/>
          <w:rtl/>
          <w:lang w:val="en"/>
        </w:rPr>
        <w:t xml:space="preserve"> </w:t>
      </w:r>
      <w:r w:rsidRPr="00683030">
        <w:rPr>
          <w:rFonts w:asciiTheme="majorBidi" w:hAnsiTheme="majorBidi" w:cstheme="majorBidi"/>
          <w:b/>
          <w:bCs/>
          <w:sz w:val="26"/>
          <w:szCs w:val="26"/>
        </w:rPr>
        <w:t xml:space="preserve">Sajjad </w:t>
      </w:r>
      <w:r w:rsidRPr="00683030">
        <w:rPr>
          <w:rFonts w:asciiTheme="majorBidi" w:hAnsiTheme="majorBidi" w:cstheme="majorBidi"/>
          <w:b/>
          <w:bCs/>
          <w:sz w:val="26"/>
          <w:szCs w:val="26"/>
          <w:lang w:val="en"/>
        </w:rPr>
        <w:t>(pbuh)</w:t>
      </w:r>
    </w:p>
    <w:p w:rsidR="00A86FC9" w:rsidRPr="00683030" w:rsidRDefault="00A86FC9" w:rsidP="00A86FC9">
      <w:pPr>
        <w:pStyle w:val="NormalWeb"/>
        <w:jc w:val="center"/>
        <w:rPr>
          <w:rFonts w:asciiTheme="majorBidi" w:hAnsiTheme="majorBidi" w:cs="B Nazanin"/>
          <w:b/>
          <w:bCs/>
          <w:sz w:val="28"/>
          <w:szCs w:val="28"/>
        </w:rPr>
      </w:pPr>
      <w:proofErr w:type="spellStart"/>
      <w:r w:rsidRPr="00683030">
        <w:rPr>
          <w:rFonts w:asciiTheme="majorBidi" w:hAnsiTheme="majorBidi" w:cs="B Nazanin"/>
          <w:b/>
          <w:bCs/>
          <w:sz w:val="28"/>
          <w:szCs w:val="28"/>
        </w:rPr>
        <w:t>Fatemeh</w:t>
      </w:r>
      <w:proofErr w:type="spellEnd"/>
      <w:r w:rsidRPr="00683030">
        <w:rPr>
          <w:rFonts w:asciiTheme="majorBidi" w:hAnsiTheme="majorBidi" w:cs="B Nazanin"/>
          <w:b/>
          <w:bCs/>
          <w:sz w:val="28"/>
          <w:szCs w:val="28"/>
        </w:rPr>
        <w:t xml:space="preserve"> </w:t>
      </w:r>
      <w:proofErr w:type="spellStart"/>
      <w:r w:rsidRPr="00683030">
        <w:rPr>
          <w:rFonts w:asciiTheme="majorBidi" w:hAnsiTheme="majorBidi" w:cs="B Nazanin"/>
          <w:b/>
          <w:bCs/>
          <w:sz w:val="28"/>
          <w:szCs w:val="28"/>
        </w:rPr>
        <w:t>vojdani</w:t>
      </w:r>
      <w:proofErr w:type="spellEnd"/>
      <w:r w:rsidRPr="00683030">
        <w:rPr>
          <w:rFonts w:asciiTheme="majorBidi" w:hAnsiTheme="majorBidi" w:cs="B Nazanin"/>
          <w:b/>
          <w:bCs/>
          <w:sz w:val="28"/>
          <w:szCs w:val="28"/>
          <w:vertAlign w:val="superscript"/>
        </w:rPr>
        <w:footnoteReference w:id="2"/>
      </w:r>
    </w:p>
    <w:p w:rsidR="00A86FC9" w:rsidRPr="00F85E8B" w:rsidRDefault="00A86FC9" w:rsidP="00A86FC9">
      <w:pPr>
        <w:pStyle w:val="NormalWeb"/>
        <w:jc w:val="center"/>
        <w:rPr>
          <w:rFonts w:asciiTheme="majorBidi" w:hAnsiTheme="majorBidi" w:cstheme="majorBidi"/>
          <w:b/>
          <w:bCs/>
          <w:sz w:val="26"/>
          <w:szCs w:val="26"/>
          <w:rtl/>
        </w:rPr>
      </w:pPr>
    </w:p>
    <w:p w:rsidR="00A86FC9" w:rsidRPr="00F85E8B" w:rsidRDefault="00A86FC9" w:rsidP="00A86FC9">
      <w:pPr>
        <w:pStyle w:val="NormalWeb"/>
        <w:shd w:val="clear" w:color="auto" w:fill="FFFFFF"/>
        <w:spacing w:line="480" w:lineRule="auto"/>
        <w:jc w:val="lowKashida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F85E8B">
        <w:rPr>
          <w:rFonts w:asciiTheme="majorBidi" w:hAnsiTheme="majorBidi" w:cstheme="majorBidi"/>
          <w:b/>
          <w:bCs/>
          <w:sz w:val="26"/>
          <w:szCs w:val="26"/>
        </w:rPr>
        <w:t>Abstract</w:t>
      </w:r>
    </w:p>
    <w:p w:rsidR="00A86FC9" w:rsidRPr="00F85E8B" w:rsidRDefault="00A86FC9" w:rsidP="00A86FC9">
      <w:pPr>
        <w:pStyle w:val="NormalWeb"/>
        <w:spacing w:line="480" w:lineRule="auto"/>
        <w:jc w:val="lowKashida"/>
        <w:rPr>
          <w:rFonts w:asciiTheme="majorBidi" w:hAnsiTheme="majorBidi" w:cstheme="majorBidi"/>
          <w:sz w:val="26"/>
          <w:szCs w:val="26"/>
          <w:lang w:val="en"/>
        </w:rPr>
      </w:pPr>
      <w:r w:rsidRPr="00F85E8B">
        <w:rPr>
          <w:rFonts w:asciiTheme="majorBidi" w:hAnsiTheme="majorBidi" w:cstheme="majorBidi"/>
          <w:b/>
          <w:bCs/>
          <w:sz w:val="26"/>
          <w:szCs w:val="26"/>
        </w:rPr>
        <w:t>Aim</w:t>
      </w:r>
      <w:r w:rsidRPr="00F85E8B">
        <w:rPr>
          <w:rFonts w:asciiTheme="majorBidi" w:hAnsiTheme="majorBidi" w:cstheme="majorBidi"/>
          <w:sz w:val="26"/>
          <w:szCs w:val="26"/>
        </w:rPr>
        <w:t>:</w:t>
      </w:r>
      <w:r w:rsidRPr="00F85E8B">
        <w:rPr>
          <w:rFonts w:asciiTheme="majorBidi" w:hAnsiTheme="majorBidi" w:cstheme="majorBidi"/>
          <w:sz w:val="26"/>
          <w:szCs w:val="26"/>
          <w:lang w:val="en"/>
        </w:rPr>
        <w:t xml:space="preserve"> The purpose of this study was to identify the components of good neighborliness (with emphasis on </w:t>
      </w:r>
      <w:r>
        <w:rPr>
          <w:rFonts w:asciiTheme="majorBidi" w:hAnsiTheme="majorBidi" w:cstheme="majorBidi"/>
          <w:sz w:val="26"/>
          <w:szCs w:val="26"/>
          <w:lang w:val="en"/>
        </w:rPr>
        <w:t xml:space="preserve">the </w:t>
      </w:r>
      <w:r w:rsidRPr="00683030">
        <w:rPr>
          <w:rFonts w:asciiTheme="majorBidi" w:hAnsiTheme="majorBidi" w:cstheme="majorBidi"/>
          <w:sz w:val="26"/>
          <w:szCs w:val="26"/>
          <w:lang w:val="en"/>
        </w:rPr>
        <w:t>ethics of liv</w:t>
      </w:r>
      <w:proofErr w:type="spellStart"/>
      <w:r w:rsidRPr="00683030">
        <w:rPr>
          <w:rFonts w:asciiTheme="majorBidi" w:hAnsiTheme="majorBidi" w:cstheme="majorBidi"/>
          <w:sz w:val="26"/>
          <w:szCs w:val="26"/>
        </w:rPr>
        <w:t>ing</w:t>
      </w:r>
      <w:proofErr w:type="spellEnd"/>
      <w:r w:rsidRPr="00683030">
        <w:rPr>
          <w:rFonts w:asciiTheme="majorBidi" w:hAnsiTheme="majorBidi" w:cstheme="majorBidi"/>
          <w:sz w:val="26"/>
          <w:szCs w:val="26"/>
          <w:lang w:val="en"/>
        </w:rPr>
        <w:t xml:space="preserve"> in the apartment)</w:t>
      </w:r>
      <w:r w:rsidRPr="00F85E8B">
        <w:rPr>
          <w:rFonts w:asciiTheme="majorBidi" w:hAnsiTheme="majorBidi" w:cstheme="majorBidi"/>
          <w:sz w:val="26"/>
          <w:szCs w:val="26"/>
          <w:lang w:val="en"/>
        </w:rPr>
        <w:t xml:space="preserve"> from the viewpoint of Imam</w:t>
      </w:r>
      <w:r w:rsidRPr="00F85E8B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Pr="00F85E8B">
        <w:rPr>
          <w:rFonts w:asciiTheme="majorBidi" w:hAnsiTheme="majorBidi" w:cstheme="majorBidi"/>
          <w:sz w:val="26"/>
          <w:szCs w:val="26"/>
        </w:rPr>
        <w:t>Sajjad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Pr="00F85E8B">
        <w:rPr>
          <w:rFonts w:asciiTheme="majorBidi" w:hAnsiTheme="majorBidi" w:cstheme="majorBidi"/>
          <w:sz w:val="26"/>
          <w:szCs w:val="26"/>
          <w:lang w:val="en"/>
        </w:rPr>
        <w:t>(pbuh)</w:t>
      </w:r>
      <w:r w:rsidRPr="00F85E8B">
        <w:rPr>
          <w:rFonts w:asciiTheme="majorBidi" w:hAnsiTheme="majorBidi" w:cstheme="majorBidi"/>
          <w:sz w:val="26"/>
          <w:szCs w:val="26"/>
        </w:rPr>
        <w:t xml:space="preserve"> </w:t>
      </w:r>
      <w:r w:rsidRPr="00F85E8B">
        <w:rPr>
          <w:rFonts w:asciiTheme="majorBidi" w:hAnsiTheme="majorBidi" w:cstheme="majorBidi"/>
          <w:sz w:val="26"/>
          <w:szCs w:val="26"/>
          <w:lang w:val="en"/>
        </w:rPr>
        <w:t xml:space="preserve">and organizing these components. </w:t>
      </w:r>
      <w:r w:rsidRPr="00F85E8B">
        <w:rPr>
          <w:rFonts w:asciiTheme="majorBidi" w:hAnsiTheme="majorBidi" w:cstheme="majorBidi"/>
          <w:b/>
          <w:bCs/>
          <w:sz w:val="26"/>
          <w:szCs w:val="26"/>
          <w:lang w:val="en"/>
        </w:rPr>
        <w:t>Method</w:t>
      </w:r>
      <w:r w:rsidRPr="00F85E8B">
        <w:rPr>
          <w:rFonts w:asciiTheme="majorBidi" w:hAnsiTheme="majorBidi" w:cstheme="majorBidi"/>
          <w:sz w:val="26"/>
          <w:szCs w:val="26"/>
          <w:lang w:val="en"/>
        </w:rPr>
        <w:t>: The method this research was document analysis and descriptive-analytic method</w:t>
      </w:r>
      <w:r w:rsidRPr="00F85E8B">
        <w:rPr>
          <w:rFonts w:asciiTheme="majorBidi" w:hAnsiTheme="majorBidi" w:cstheme="majorBidi"/>
          <w:sz w:val="26"/>
          <w:szCs w:val="26"/>
          <w:rtl/>
        </w:rPr>
        <w:t>.</w:t>
      </w:r>
      <w:r w:rsidRPr="00F85E8B">
        <w:rPr>
          <w:rFonts w:asciiTheme="majorBidi" w:hAnsiTheme="majorBidi" w:cstheme="majorBidi"/>
          <w:sz w:val="26"/>
          <w:szCs w:val="26"/>
          <w:lang w:val="en"/>
        </w:rPr>
        <w:t xml:space="preserve"> </w:t>
      </w:r>
      <w:r w:rsidRPr="00F85E8B">
        <w:rPr>
          <w:rFonts w:asciiTheme="majorBidi" w:hAnsiTheme="majorBidi" w:cstheme="majorBidi"/>
          <w:sz w:val="26"/>
          <w:szCs w:val="26"/>
        </w:rPr>
        <w:t>F</w:t>
      </w:r>
      <w:r w:rsidRPr="00F85E8B">
        <w:rPr>
          <w:rFonts w:asciiTheme="majorBidi" w:hAnsiTheme="majorBidi" w:cstheme="majorBidi"/>
          <w:sz w:val="26"/>
          <w:szCs w:val="26"/>
          <w:lang w:val="en"/>
        </w:rPr>
        <w:t>or this purpose, “</w:t>
      </w:r>
      <w:proofErr w:type="spellStart"/>
      <w:r w:rsidRPr="00F85E8B">
        <w:rPr>
          <w:rFonts w:asciiTheme="majorBidi" w:hAnsiTheme="majorBidi" w:cstheme="majorBidi"/>
          <w:sz w:val="26"/>
          <w:szCs w:val="26"/>
          <w:lang w:val="en"/>
        </w:rPr>
        <w:t>Sahifeh</w:t>
      </w:r>
      <w:proofErr w:type="spellEnd"/>
      <w:r w:rsidRPr="00F85E8B">
        <w:rPr>
          <w:rFonts w:asciiTheme="majorBidi" w:hAnsiTheme="majorBidi" w:cstheme="majorBidi"/>
          <w:sz w:val="26"/>
          <w:szCs w:val="26"/>
          <w:lang w:val="en"/>
        </w:rPr>
        <w:t xml:space="preserve"> </w:t>
      </w:r>
      <w:proofErr w:type="spellStart"/>
      <w:r w:rsidRPr="00F85E8B">
        <w:rPr>
          <w:rFonts w:asciiTheme="majorBidi" w:hAnsiTheme="majorBidi" w:cstheme="majorBidi"/>
          <w:sz w:val="26"/>
          <w:szCs w:val="26"/>
          <w:lang w:val="en"/>
        </w:rPr>
        <w:t>Sajjadiyeh</w:t>
      </w:r>
      <w:proofErr w:type="spellEnd"/>
      <w:r w:rsidRPr="00F85E8B">
        <w:rPr>
          <w:rFonts w:asciiTheme="majorBidi" w:hAnsiTheme="majorBidi" w:cstheme="majorBidi"/>
          <w:sz w:val="26"/>
          <w:szCs w:val="26"/>
          <w:lang w:val="en"/>
        </w:rPr>
        <w:t>” and the “Treatise on Rights” were studies analytically.</w:t>
      </w:r>
      <w:r w:rsidRPr="00F85E8B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Pr="00F85E8B">
        <w:rPr>
          <w:rFonts w:asciiTheme="majorBidi" w:hAnsiTheme="majorBidi" w:cstheme="majorBidi"/>
          <w:b/>
          <w:bCs/>
          <w:sz w:val="26"/>
          <w:szCs w:val="26"/>
          <w:lang w:val="en"/>
        </w:rPr>
        <w:t>Findings</w:t>
      </w:r>
      <w:r w:rsidRPr="00F85E8B">
        <w:rPr>
          <w:rFonts w:asciiTheme="majorBidi" w:hAnsiTheme="majorBidi" w:cstheme="majorBidi"/>
          <w:sz w:val="26"/>
          <w:szCs w:val="26"/>
          <w:lang w:val="en"/>
        </w:rPr>
        <w:t xml:space="preserve">: </w:t>
      </w:r>
      <w:r w:rsidRPr="00F85E8B">
        <w:rPr>
          <w:rFonts w:asciiTheme="majorBidi" w:hAnsiTheme="majorBidi" w:cstheme="majorBidi"/>
          <w:sz w:val="26"/>
          <w:szCs w:val="26"/>
        </w:rPr>
        <w:t>A</w:t>
      </w:r>
      <w:proofErr w:type="spellStart"/>
      <w:r w:rsidRPr="00F85E8B">
        <w:rPr>
          <w:rFonts w:asciiTheme="majorBidi" w:hAnsiTheme="majorBidi" w:cstheme="majorBidi"/>
          <w:sz w:val="26"/>
          <w:szCs w:val="26"/>
          <w:lang w:val="en"/>
        </w:rPr>
        <w:t>ccording</w:t>
      </w:r>
      <w:proofErr w:type="spellEnd"/>
      <w:r w:rsidRPr="00F85E8B">
        <w:rPr>
          <w:rFonts w:asciiTheme="majorBidi" w:hAnsiTheme="majorBidi" w:cstheme="majorBidi"/>
          <w:sz w:val="26"/>
          <w:szCs w:val="26"/>
          <w:lang w:val="en"/>
        </w:rPr>
        <w:t xml:space="preserve"> to the findings, the moral values in neighborhood were extract</w:t>
      </w:r>
      <w:proofErr w:type="spellStart"/>
      <w:r w:rsidRPr="00F85E8B">
        <w:rPr>
          <w:rFonts w:asciiTheme="majorBidi" w:hAnsiTheme="majorBidi" w:cstheme="majorBidi"/>
          <w:sz w:val="26"/>
          <w:szCs w:val="26"/>
        </w:rPr>
        <w:t>ed</w:t>
      </w:r>
      <w:proofErr w:type="spellEnd"/>
      <w:r w:rsidRPr="00F85E8B">
        <w:rPr>
          <w:rFonts w:asciiTheme="majorBidi" w:hAnsiTheme="majorBidi" w:cstheme="majorBidi"/>
          <w:sz w:val="26"/>
          <w:szCs w:val="26"/>
          <w:lang w:val="en"/>
        </w:rPr>
        <w:t xml:space="preserve"> and formulated on nine axis: the general ethics of neighborhood</w:t>
      </w:r>
      <w:r w:rsidRPr="00F85E8B">
        <w:rPr>
          <w:rFonts w:asciiTheme="majorBidi" w:hAnsiTheme="majorBidi" w:cstheme="majorBidi"/>
          <w:sz w:val="26"/>
          <w:szCs w:val="26"/>
        </w:rPr>
        <w:t xml:space="preserve">, </w:t>
      </w:r>
      <w:r w:rsidRPr="00F85E8B">
        <w:rPr>
          <w:rFonts w:asciiTheme="majorBidi" w:hAnsiTheme="majorBidi" w:cstheme="majorBidi"/>
          <w:sz w:val="26"/>
          <w:szCs w:val="26"/>
          <w:lang w:val="en"/>
        </w:rPr>
        <w:t xml:space="preserve">morality with the suffering neighbor, morality with the philanthropic neighbor,  ethics of complaint  and protest against neighbor, ethics of consultation between neighbors, morality with the aging neighbors, morality with the </w:t>
      </w:r>
      <w:proofErr w:type="spellStart"/>
      <w:r w:rsidRPr="00F85E8B">
        <w:rPr>
          <w:rFonts w:asciiTheme="majorBidi" w:hAnsiTheme="majorBidi" w:cstheme="majorBidi"/>
          <w:sz w:val="26"/>
          <w:szCs w:val="26"/>
          <w:lang w:val="en"/>
        </w:rPr>
        <w:t>the</w:t>
      </w:r>
      <w:proofErr w:type="spellEnd"/>
      <w:r w:rsidRPr="00F85E8B">
        <w:rPr>
          <w:rFonts w:asciiTheme="majorBidi" w:hAnsiTheme="majorBidi" w:cstheme="majorBidi"/>
          <w:sz w:val="26"/>
          <w:szCs w:val="26"/>
          <w:lang w:val="en"/>
        </w:rPr>
        <w:t xml:space="preserve"> children of the neighbors, the ethics of dealing with a damaging and evil neighbor </w:t>
      </w:r>
      <w:r w:rsidRPr="00F85E8B">
        <w:rPr>
          <w:rFonts w:asciiTheme="majorBidi" w:hAnsiTheme="majorBidi" w:cstheme="majorBidi"/>
          <w:sz w:val="26"/>
          <w:szCs w:val="26"/>
        </w:rPr>
        <w:t>a</w:t>
      </w:r>
      <w:proofErr w:type="spellStart"/>
      <w:r w:rsidRPr="00F85E8B">
        <w:rPr>
          <w:rFonts w:asciiTheme="majorBidi" w:hAnsiTheme="majorBidi" w:cstheme="majorBidi"/>
          <w:sz w:val="26"/>
          <w:szCs w:val="26"/>
          <w:lang w:val="en"/>
        </w:rPr>
        <w:t>nd</w:t>
      </w:r>
      <w:proofErr w:type="spellEnd"/>
      <w:r w:rsidRPr="00F85E8B">
        <w:rPr>
          <w:rFonts w:asciiTheme="majorBidi" w:hAnsiTheme="majorBidi" w:cstheme="majorBidi"/>
          <w:sz w:val="26"/>
          <w:szCs w:val="26"/>
          <w:lang w:val="en"/>
        </w:rPr>
        <w:t xml:space="preserve"> ethics of apartment management. Also, six components were identified as the basis for apartment morality. </w:t>
      </w:r>
      <w:r w:rsidRPr="00F85E8B">
        <w:rPr>
          <w:rFonts w:asciiTheme="majorBidi" w:hAnsiTheme="majorBidi" w:cstheme="majorBidi"/>
          <w:b/>
          <w:bCs/>
          <w:sz w:val="26"/>
          <w:szCs w:val="26"/>
          <w:lang w:val="en"/>
        </w:rPr>
        <w:t>Conclusion</w:t>
      </w:r>
      <w:r w:rsidRPr="00F85E8B">
        <w:rPr>
          <w:rFonts w:asciiTheme="majorBidi" w:hAnsiTheme="majorBidi" w:cstheme="majorBidi"/>
          <w:sz w:val="26"/>
          <w:szCs w:val="26"/>
          <w:lang w:val="en"/>
        </w:rPr>
        <w:t xml:space="preserve">: This research emphasized the necessity and usefulness of the traditions of the Imams to formulate the citizenship ethics system and to revive the ethical interactions in the today's life. </w:t>
      </w:r>
    </w:p>
    <w:p w:rsidR="00A86FC9" w:rsidRDefault="00A86FC9" w:rsidP="00A86FC9">
      <w:pPr>
        <w:pStyle w:val="NormalWeb"/>
        <w:spacing w:line="480" w:lineRule="auto"/>
        <w:rPr>
          <w:rFonts w:ascii="Tahoma" w:hAnsi="Tahoma" w:cs="B Zar"/>
          <w:i/>
          <w:iCs/>
          <w:sz w:val="28"/>
          <w:szCs w:val="28"/>
        </w:rPr>
      </w:pPr>
      <w:r w:rsidRPr="00F85E8B">
        <w:rPr>
          <w:rFonts w:asciiTheme="majorBidi" w:hAnsiTheme="majorBidi" w:cs="B Nazanin"/>
          <w:b/>
          <w:bCs/>
          <w:sz w:val="26"/>
          <w:szCs w:val="26"/>
        </w:rPr>
        <w:t>Keywords:</w:t>
      </w:r>
      <w:r w:rsidRPr="00F85E8B">
        <w:rPr>
          <w:rFonts w:ascii="Arial" w:eastAsiaTheme="minorHAnsi" w:hAnsi="Arial" w:cs="Arial"/>
          <w:color w:val="222222"/>
          <w:sz w:val="26"/>
          <w:szCs w:val="26"/>
          <w:lang w:val="en"/>
        </w:rPr>
        <w:t xml:space="preserve"> </w:t>
      </w:r>
      <w:r w:rsidRPr="00F85E8B">
        <w:rPr>
          <w:rFonts w:asciiTheme="majorBidi" w:hAnsiTheme="majorBidi" w:cs="B Nazanin"/>
          <w:sz w:val="26"/>
          <w:szCs w:val="26"/>
          <w:lang w:val="en"/>
        </w:rPr>
        <w:t xml:space="preserve">Neighborhood Ethics, Apartment House, Imam Sajjad </w:t>
      </w:r>
      <w:r w:rsidRPr="00F85E8B">
        <w:rPr>
          <w:rFonts w:asciiTheme="majorBidi" w:hAnsiTheme="majorBidi" w:cstheme="majorBidi"/>
          <w:sz w:val="26"/>
          <w:szCs w:val="26"/>
          <w:lang w:val="en"/>
        </w:rPr>
        <w:t>(pbuh)</w:t>
      </w:r>
      <w:r w:rsidRPr="00F85E8B">
        <w:rPr>
          <w:rFonts w:asciiTheme="majorBidi" w:hAnsiTheme="majorBidi" w:cs="B Nazanin"/>
          <w:sz w:val="26"/>
          <w:szCs w:val="26"/>
          <w:lang w:val="en"/>
        </w:rPr>
        <w:t xml:space="preserve">, Ethics of Citizenship, </w:t>
      </w:r>
      <w:proofErr w:type="spellStart"/>
      <w:r w:rsidRPr="00F85E8B">
        <w:rPr>
          <w:rFonts w:asciiTheme="majorBidi" w:hAnsiTheme="majorBidi" w:cstheme="majorBidi"/>
          <w:sz w:val="26"/>
          <w:szCs w:val="26"/>
          <w:lang w:val="en"/>
        </w:rPr>
        <w:t>Sahifeh</w:t>
      </w:r>
      <w:proofErr w:type="spellEnd"/>
      <w:r>
        <w:rPr>
          <w:rFonts w:asciiTheme="majorBidi" w:hAnsiTheme="majorBidi" w:cstheme="majorBidi"/>
          <w:sz w:val="26"/>
          <w:szCs w:val="26"/>
          <w:lang w:val="en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  <w:lang w:val="en"/>
        </w:rPr>
        <w:t>Sajjadiyeh</w:t>
      </w:r>
      <w:proofErr w:type="spellEnd"/>
      <w:r>
        <w:rPr>
          <w:rFonts w:asciiTheme="majorBidi" w:hAnsiTheme="majorBidi" w:cstheme="majorBidi"/>
          <w:sz w:val="26"/>
          <w:szCs w:val="26"/>
          <w:lang w:val="en"/>
        </w:rPr>
        <w:t xml:space="preserve">, </w:t>
      </w:r>
      <w:r w:rsidRPr="00F85E8B">
        <w:rPr>
          <w:rFonts w:asciiTheme="majorBidi" w:hAnsiTheme="majorBidi" w:cstheme="majorBidi"/>
          <w:sz w:val="26"/>
          <w:szCs w:val="26"/>
          <w:lang w:val="en"/>
        </w:rPr>
        <w:t>Treatise on Rights</w:t>
      </w:r>
    </w:p>
    <w:p w:rsidR="00327C01" w:rsidRDefault="00327C01"/>
    <w:sectPr w:rsidR="00327C01" w:rsidSect="002656CD">
      <w:pgSz w:w="11906" w:h="16838" w:code="9"/>
      <w:pgMar w:top="1701" w:right="2275" w:bottom="1701" w:left="1411" w:header="720" w:footer="1022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085" w:rsidRDefault="00D16085" w:rsidP="00A86FC9">
      <w:pPr>
        <w:spacing w:after="0" w:line="240" w:lineRule="auto"/>
      </w:pPr>
      <w:r>
        <w:separator/>
      </w:r>
    </w:p>
  </w:endnote>
  <w:endnote w:type="continuationSeparator" w:id="0">
    <w:p w:rsidR="00D16085" w:rsidRDefault="00D16085" w:rsidP="00A86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ranSans">
    <w:altName w:val="Times New Roman"/>
    <w:charset w:val="00"/>
    <w:family w:val="auto"/>
    <w:pitch w:val="default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085" w:rsidRDefault="00D16085" w:rsidP="00A86FC9">
      <w:pPr>
        <w:spacing w:after="0" w:line="240" w:lineRule="auto"/>
      </w:pPr>
      <w:r>
        <w:separator/>
      </w:r>
    </w:p>
  </w:footnote>
  <w:footnote w:type="continuationSeparator" w:id="0">
    <w:p w:rsidR="00D16085" w:rsidRDefault="00D16085" w:rsidP="00A86FC9">
      <w:pPr>
        <w:spacing w:after="0" w:line="240" w:lineRule="auto"/>
      </w:pPr>
      <w:r>
        <w:continuationSeparator/>
      </w:r>
    </w:p>
  </w:footnote>
  <w:footnote w:id="1">
    <w:p w:rsidR="00A86FC9" w:rsidRPr="008F0D08" w:rsidRDefault="00A86FC9" w:rsidP="00A86FC9">
      <w:pPr>
        <w:pStyle w:val="FootnoteText"/>
        <w:bidi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8F0D08">
        <w:rPr>
          <w:rFonts w:cs="B Nazanin" w:hint="cs"/>
          <w:rtl/>
          <w:lang w:bidi="fa-IR"/>
        </w:rPr>
        <w:t>عضو هیات علمی دانشگاه شهید بهشتی</w:t>
      </w:r>
      <w:r>
        <w:rPr>
          <w:rFonts w:cs="B Nazanin" w:hint="cs"/>
          <w:rtl/>
          <w:lang w:bidi="fa-IR"/>
        </w:rPr>
        <w:t>، دانشکده الهیات</w:t>
      </w:r>
      <w:r w:rsidRPr="008F0D08">
        <w:rPr>
          <w:rFonts w:cs="B Nazanin" w:hint="cs"/>
          <w:rtl/>
          <w:lang w:bidi="fa-IR"/>
        </w:rPr>
        <w:t xml:space="preserve">. </w:t>
      </w:r>
      <w:r>
        <w:rPr>
          <w:rFonts w:cs="B Nazanin" w:hint="cs"/>
          <w:rtl/>
          <w:lang w:bidi="fa-IR"/>
        </w:rPr>
        <w:t>دکتری فلسفه تعلیم و تربیت.</w:t>
      </w:r>
      <w:r w:rsidRPr="008F0D08">
        <w:rPr>
          <w:rFonts w:cs="B Nazanin" w:hint="cs"/>
          <w:rtl/>
          <w:lang w:bidi="fa-IR"/>
        </w:rPr>
        <w:t xml:space="preserve"> تهران، ولنجک، میدان شهید شهریاری، دانشگاه شهید بهشتی</w:t>
      </w:r>
      <w:r>
        <w:rPr>
          <w:rFonts w:cs="B Nazanin" w:hint="cs"/>
          <w:rtl/>
          <w:lang w:bidi="fa-IR"/>
        </w:rPr>
        <w:t>، دانشکده الهیات</w:t>
      </w:r>
      <w:r w:rsidRPr="008F0D08">
        <w:rPr>
          <w:rFonts w:cs="B Nazanin" w:hint="cs"/>
          <w:rtl/>
          <w:lang w:bidi="fa-IR"/>
        </w:rPr>
        <w:t>.</w:t>
      </w:r>
      <w:r w:rsidRPr="008F0D08">
        <w:rPr>
          <w:rFonts w:cs="B Nazanin"/>
          <w:lang w:bidi="fa-IR"/>
        </w:rPr>
        <w:t xml:space="preserve"> </w:t>
      </w:r>
      <w:r w:rsidRPr="008F0D08">
        <w:rPr>
          <w:rFonts w:cs="B Nazanin" w:hint="cs"/>
          <w:rtl/>
          <w:lang w:bidi="fa-IR"/>
        </w:rPr>
        <w:t xml:space="preserve"> همراه: ۰۹۱۲۴۵۴۸۳۴۳</w:t>
      </w:r>
      <w:r>
        <w:rPr>
          <w:rFonts w:hint="cs"/>
          <w:rtl/>
          <w:lang w:bidi="fa-IR"/>
        </w:rPr>
        <w:t xml:space="preserve">      </w:t>
      </w:r>
      <w:proofErr w:type="spellStart"/>
      <w:r w:rsidRPr="008F0D08">
        <w:rPr>
          <w:lang w:bidi="fa-IR"/>
        </w:rPr>
        <w:t>Email:f_vojdani@sbu.ac.ir</w:t>
      </w:r>
      <w:proofErr w:type="spellEnd"/>
    </w:p>
    <w:p w:rsidR="00A86FC9" w:rsidRDefault="00A86FC9" w:rsidP="00A86FC9">
      <w:pPr>
        <w:pStyle w:val="FootnoteText"/>
        <w:bidi/>
        <w:rPr>
          <w:lang w:bidi="fa-IR"/>
        </w:rPr>
      </w:pPr>
    </w:p>
    <w:p w:rsidR="00A86FC9" w:rsidRDefault="00A86FC9" w:rsidP="00A86FC9">
      <w:pPr>
        <w:pStyle w:val="FootnoteText"/>
        <w:rPr>
          <w:lang w:bidi="fa-IR"/>
        </w:rPr>
      </w:pPr>
    </w:p>
  </w:footnote>
  <w:footnote w:id="2">
    <w:p w:rsidR="00A86FC9" w:rsidRPr="00875D80" w:rsidRDefault="00A86FC9" w:rsidP="00A86FC9">
      <w:pPr>
        <w:pStyle w:val="FootnoteText"/>
        <w:rPr>
          <w:rStyle w:val="Hyperlink"/>
          <w:rFonts w:asciiTheme="majorBidi" w:hAnsiTheme="majorBidi" w:cstheme="majorBidi"/>
          <w:rtl/>
          <w:lang w:bidi="fa-IR"/>
        </w:rPr>
      </w:pPr>
      <w:r w:rsidRPr="007E15EC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7E15EC">
        <w:rPr>
          <w:rFonts w:asciiTheme="majorBidi" w:hAnsiTheme="majorBidi" w:cstheme="majorBidi"/>
          <w:sz w:val="22"/>
          <w:szCs w:val="22"/>
        </w:rPr>
        <w:t xml:space="preserve"> </w:t>
      </w:r>
      <w:r w:rsidRPr="00A27F1B">
        <w:rPr>
          <w:rStyle w:val="shorttext"/>
          <w:rFonts w:asciiTheme="majorBidi" w:hAnsiTheme="majorBidi" w:cstheme="majorBidi"/>
          <w:color w:val="222222"/>
          <w:lang w:val="en"/>
        </w:rPr>
        <w:t xml:space="preserve">Assistant </w:t>
      </w:r>
      <w:r w:rsidRPr="00875D80">
        <w:rPr>
          <w:rStyle w:val="shorttext"/>
          <w:rFonts w:asciiTheme="majorBidi" w:hAnsiTheme="majorBidi" w:cstheme="majorBidi"/>
          <w:lang w:val="en"/>
        </w:rPr>
        <w:t xml:space="preserve">Professor </w:t>
      </w:r>
      <w:proofErr w:type="gramStart"/>
      <w:r w:rsidRPr="00875D80">
        <w:rPr>
          <w:rStyle w:val="shorttext"/>
          <w:rFonts w:asciiTheme="majorBidi" w:hAnsiTheme="majorBidi" w:cstheme="majorBidi"/>
          <w:lang w:val="en"/>
        </w:rPr>
        <w:t xml:space="preserve">of </w:t>
      </w:r>
      <w:r w:rsidRPr="00875D80">
        <w:rPr>
          <w:rFonts w:asciiTheme="majorBidi" w:hAnsiTheme="majorBidi" w:cstheme="majorBidi"/>
          <w:rtl/>
        </w:rPr>
        <w:t xml:space="preserve"> </w:t>
      </w:r>
      <w:proofErr w:type="spellStart"/>
      <w:r w:rsidRPr="00875D80">
        <w:rPr>
          <w:rFonts w:asciiTheme="majorBidi" w:hAnsiTheme="majorBidi" w:cstheme="majorBidi"/>
        </w:rPr>
        <w:t>Shahid</w:t>
      </w:r>
      <w:proofErr w:type="spellEnd"/>
      <w:proofErr w:type="gramEnd"/>
      <w:r w:rsidRPr="00875D80">
        <w:rPr>
          <w:rFonts w:asciiTheme="majorBidi" w:hAnsiTheme="majorBidi" w:cstheme="majorBidi"/>
        </w:rPr>
        <w:t xml:space="preserve"> </w:t>
      </w:r>
      <w:proofErr w:type="spellStart"/>
      <w:r w:rsidRPr="00875D80">
        <w:rPr>
          <w:rFonts w:asciiTheme="majorBidi" w:hAnsiTheme="majorBidi" w:cstheme="majorBidi"/>
        </w:rPr>
        <w:t>Beheshti</w:t>
      </w:r>
      <w:proofErr w:type="spellEnd"/>
      <w:r w:rsidRPr="00875D80">
        <w:rPr>
          <w:rFonts w:asciiTheme="majorBidi" w:hAnsiTheme="majorBidi" w:cstheme="majorBidi"/>
        </w:rPr>
        <w:t xml:space="preserve"> University, Tehran, Iran.</w:t>
      </w:r>
      <w:r w:rsidRPr="00875D80">
        <w:rPr>
          <w:rFonts w:asciiTheme="majorBidi" w:hAnsiTheme="majorBidi" w:cstheme="majorBidi"/>
          <w:rtl/>
        </w:rPr>
        <w:t xml:space="preserve">   </w:t>
      </w:r>
      <w:r w:rsidRPr="00875D80">
        <w:rPr>
          <w:rFonts w:asciiTheme="majorBidi" w:hAnsiTheme="majorBidi" w:cstheme="majorBidi"/>
          <w:lang w:bidi="fa-IR"/>
        </w:rPr>
        <w:t xml:space="preserve">Email: </w:t>
      </w:r>
      <w:hyperlink r:id="rId1" w:history="1">
        <w:r w:rsidRPr="00875D80">
          <w:rPr>
            <w:rStyle w:val="Hyperlink"/>
            <w:rFonts w:asciiTheme="majorBidi" w:hAnsiTheme="majorBidi" w:cstheme="majorBidi"/>
            <w:lang w:bidi="fa-IR"/>
          </w:rPr>
          <w:t>f-vodgdani@yahoo.com</w:t>
        </w:r>
      </w:hyperlink>
    </w:p>
    <w:p w:rsidR="00A86FC9" w:rsidRPr="00875D80" w:rsidRDefault="00A86FC9" w:rsidP="00A86FC9">
      <w:pPr>
        <w:pStyle w:val="FootnoteText"/>
        <w:rPr>
          <w:rFonts w:asciiTheme="majorBidi" w:hAnsiTheme="majorBidi" w:cstheme="majorBidi"/>
          <w:rtl/>
          <w:lang w:bidi="fa-IR"/>
        </w:rPr>
      </w:pPr>
      <w:r w:rsidRPr="00875D80">
        <w:rPr>
          <w:rFonts w:asciiTheme="majorBidi" w:hAnsiTheme="majorBidi" w:cstheme="majorBidi"/>
          <w:rtl/>
          <w:lang w:bidi="fa-IR"/>
        </w:rPr>
        <w:t>۰۹۱۲۴۵۴۸۳۴۳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FC9"/>
    <w:rsid w:val="002656CD"/>
    <w:rsid w:val="00327C01"/>
    <w:rsid w:val="00A86FC9"/>
    <w:rsid w:val="00D1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2F7BEE-4871-473D-ABFF-B95AAA810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F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86FC9"/>
    <w:pPr>
      <w:spacing w:before="100" w:beforeAutospacing="1" w:after="100" w:afterAutospacing="1" w:line="315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86FC9"/>
    <w:rPr>
      <w:strike w:val="0"/>
      <w:dstrike w:val="0"/>
      <w:color w:val="0000FF"/>
      <w:u w:val="none"/>
      <w:effect w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6FC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6FC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86FC9"/>
    <w:rPr>
      <w:vertAlign w:val="superscript"/>
    </w:rPr>
  </w:style>
  <w:style w:type="character" w:customStyle="1" w:styleId="shorttext">
    <w:name w:val="short_text"/>
    <w:basedOn w:val="DefaultParagraphFont"/>
    <w:rsid w:val="00A86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f-vodgdani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387</Words>
  <Characters>2208</Characters>
  <Application>Microsoft Office Word</Application>
  <DocSecurity>0</DocSecurity>
  <Lines>18</Lines>
  <Paragraphs>5</Paragraphs>
  <ScaleCrop>false</ScaleCrop>
  <Company>Moorche 30 DVDs</Company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Pixel</dc:creator>
  <cp:keywords/>
  <dc:description/>
  <cp:lastModifiedBy>Pixel</cp:lastModifiedBy>
  <cp:revision>1</cp:revision>
  <dcterms:created xsi:type="dcterms:W3CDTF">2017-11-27T10:55:00Z</dcterms:created>
  <dcterms:modified xsi:type="dcterms:W3CDTF">2017-11-27T10:56:00Z</dcterms:modified>
</cp:coreProperties>
</file>