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Educating preschool children while playing and discovering their world with authentic and concrete materials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color w:val="c00000"/>
          <w:sz w:val="20"/>
          <w:szCs w:val="20"/>
        </w:rPr>
      </w:pPr>
      <w:r w:rsidDel="00000000" w:rsidR="00000000" w:rsidRPr="00000000">
        <w:rPr>
          <w:rFonts w:ascii="Times New Roman" w:cs="Times New Roman" w:eastAsia="Times New Roman" w:hAnsi="Times New Roman"/>
          <w:b w:val="1"/>
          <w:sz w:val="20"/>
          <w:szCs w:val="20"/>
          <w:rtl w:val="0"/>
        </w:rPr>
        <w:t xml:space="preserve">First Author's Name; Sedigheh Hajizadeh   </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color w:val="c00000"/>
          <w:sz w:val="20"/>
          <w:szCs w:val="20"/>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MA in English Language and Literature, Alzahra University; Email: SedighehHajizadeh</w:t>
      </w:r>
      <w:hyperlink r:id="rId6">
        <w:r w:rsidDel="00000000" w:rsidR="00000000" w:rsidRPr="00000000">
          <w:rPr>
            <w:rFonts w:ascii="Times New Roman" w:cs="Times New Roman" w:eastAsia="Times New Roman" w:hAnsi="Times New Roman"/>
            <w:sz w:val="20"/>
            <w:szCs w:val="20"/>
            <w:rtl w:val="0"/>
          </w:rPr>
          <w:t xml:space="preserve">2015@gmail.com</w:t>
        </w:r>
      </w:hyperlink>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1155700</wp:posOffset>
                </wp:positionV>
                <wp:extent cx="395605" cy="12700"/>
                <wp:effectExtent b="0" l="0" r="0" t="0"/>
                <wp:wrapNone/>
                <wp:docPr id="1" name=""/>
                <a:graphic>
                  <a:graphicData uri="http://schemas.microsoft.com/office/word/2010/wordprocessingShape">
                    <wps:wsp>
                      <wps:cNvCnPr/>
                      <wps:spPr>
                        <a:xfrm>
                          <a:off x="5346000" y="3582198"/>
                          <a:ext cx="0" cy="3956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1155700</wp:posOffset>
                </wp:positionV>
                <wp:extent cx="39560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5605" cy="12700"/>
                        </a:xfrm>
                        <a:prstGeom prst="rect"/>
                        <a:ln/>
                      </pic:spPr>
                    </pic:pic>
                  </a:graphicData>
                </a:graphic>
              </wp:anchor>
            </w:drawing>
          </mc:Fallback>
        </mc:AlternateConten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This article dealt with the fourth goal of the seventeenth goals related to the education of young children in particular preschoolers. However, this goal aims at educating all people in different age ranges regardless of their status, poor or rich, male or female. Related to education and edification, the research intended to discover how it is possible young children acquire in an informal setting dissimilar to traditional classrooms-the place in which the learners have to sit at their desk-and to learn by heart, namely acquiring far from rote learning. To provide inclusive and equitable quality education at all levels from early childhood to adulthood technical or vocational training for all people seems to be attractive and fascinating irrespective of sex and age. The main concern of all entities regarding education must be providing all people importantly young children with appropriate edification and education. One of the effective methods in the training preschoolers is educating them through play based on their needs through their active involvement. Since children give their full attention to the play rather than through formal instruction, therefore, they can be educated indirectly far from formal instructions rooted in discovery learning. They interacted and negotiated with their peers while manipulating the object prepared for them. The physical environment in the classroom was suitable for young children playing, namely it was safe and spacious enough to jump around. The findings revealed that even the most unmotivated children were engaged in the inductive acquisition of research through playing.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spacing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i w:val="1"/>
          <w:rtl w:val="0"/>
        </w:rPr>
        <w:t xml:space="preserve">preschoolers, learning through play, indirect instruction </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bidi w:val="1"/>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bidi w:val="1"/>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bidi w:val="1"/>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bidi w:val="1"/>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bidi w:val="1"/>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bidi w:val="1"/>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bidi w:val="1"/>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2015@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