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FF" w:rsidRPr="00EB2D99" w:rsidRDefault="00A878FF" w:rsidP="00A878FF">
      <w:pPr>
        <w:bidi/>
        <w:spacing w:after="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u w:val="single"/>
          <w:rtl/>
        </w:rPr>
      </w:pPr>
      <w:r w:rsidRPr="00EB2D99">
        <w:rPr>
          <w:rFonts w:ascii="Times New Roman" w:hAnsi="Times New Roman" w:cs="B Lotus" w:hint="cs"/>
          <w:b/>
          <w:bCs/>
          <w:sz w:val="28"/>
          <w:szCs w:val="28"/>
          <w:u w:val="single"/>
          <w:rtl/>
        </w:rPr>
        <w:t>توضیحات مدل فاما و فرنچ (1993)</w:t>
      </w:r>
    </w:p>
    <w:p w:rsidR="00A878FF" w:rsidRDefault="00A878FF" w:rsidP="00A878FF">
      <w:pPr>
        <w:bidi/>
        <w:spacing w:after="0" w:line="240" w:lineRule="auto"/>
        <w:jc w:val="center"/>
        <w:rPr>
          <w:rFonts w:ascii="Times New Roman" w:hAnsi="Times New Roman" w:cs="B Lotus"/>
          <w:sz w:val="24"/>
          <w:szCs w:val="24"/>
          <w:rtl/>
        </w:rPr>
      </w:pPr>
    </w:p>
    <w:p w:rsidR="00A878FF" w:rsidRDefault="00A878FF" w:rsidP="00A878FF">
      <w:pPr>
        <w:spacing w:after="0" w:line="240" w:lineRule="auto"/>
        <w:rPr>
          <w:rFonts w:ascii="Times New Roman" w:hAnsi="Times New Roman" w:cs="B Lotus"/>
          <w:sz w:val="26"/>
          <w:szCs w:val="26"/>
          <w:vertAlign w:val="subscript"/>
          <w:rtl/>
        </w:rPr>
      </w:pPr>
      <w:proofErr w:type="spellStart"/>
      <w:proofErr w:type="gramStart"/>
      <w:r w:rsidRPr="00E23532">
        <w:rPr>
          <w:rFonts w:ascii="Times New Roman" w:hAnsi="Times New Roman" w:cs="B Lotus"/>
          <w:sz w:val="26"/>
          <w:szCs w:val="26"/>
        </w:rPr>
        <w:t>R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t</w:t>
      </w:r>
      <w:proofErr w:type="spellEnd"/>
      <w:proofErr w:type="gramEnd"/>
      <w:r w:rsidRPr="00E23532">
        <w:rPr>
          <w:rFonts w:ascii="Times New Roman" w:hAnsi="Times New Roman" w:cs="B Lotus"/>
          <w:sz w:val="26"/>
          <w:szCs w:val="26"/>
        </w:rPr>
        <w:t xml:space="preserve"> – </w:t>
      </w:r>
      <w:proofErr w:type="spellStart"/>
      <w:r w:rsidRPr="00E23532">
        <w:rPr>
          <w:rFonts w:ascii="Times New Roman" w:hAnsi="Times New Roman" w:cs="B Lotus"/>
          <w:sz w:val="26"/>
          <w:szCs w:val="26"/>
        </w:rPr>
        <w:t>Rf</w:t>
      </w:r>
      <w:proofErr w:type="spellEnd"/>
      <w:r w:rsidRPr="00E23532">
        <w:rPr>
          <w:rFonts w:ascii="Times New Roman" w:hAnsi="Times New Roman" w:cs="B Lotus"/>
          <w:sz w:val="26"/>
          <w:szCs w:val="26"/>
        </w:rPr>
        <w:t xml:space="preserve"> = α + β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1</w:t>
      </w:r>
      <w:r w:rsidRPr="00E23532">
        <w:rPr>
          <w:rFonts w:ascii="Times New Roman" w:hAnsi="Times New Roman" w:cs="B Lotus"/>
          <w:sz w:val="26"/>
          <w:szCs w:val="26"/>
        </w:rPr>
        <w:t xml:space="preserve"> </w:t>
      </w:r>
      <w:proofErr w:type="spellStart"/>
      <w:r w:rsidRPr="00E23532">
        <w:rPr>
          <w:rFonts w:ascii="Times New Roman" w:hAnsi="Times New Roman" w:cs="B Lotus"/>
          <w:sz w:val="26"/>
          <w:szCs w:val="26"/>
        </w:rPr>
        <w:t>SMB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t</w:t>
      </w:r>
      <w:proofErr w:type="spellEnd"/>
      <w:r w:rsidRPr="00E23532">
        <w:rPr>
          <w:rFonts w:ascii="Times New Roman" w:hAnsi="Times New Roman" w:cs="B Lotus"/>
          <w:sz w:val="26"/>
          <w:szCs w:val="26"/>
        </w:rPr>
        <w:t xml:space="preserve"> + β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 xml:space="preserve">2 </w:t>
      </w:r>
      <w:proofErr w:type="spellStart"/>
      <w:r w:rsidRPr="00E23532">
        <w:rPr>
          <w:rFonts w:ascii="Times New Roman" w:hAnsi="Times New Roman" w:cs="B Lotus"/>
          <w:sz w:val="26"/>
          <w:szCs w:val="26"/>
        </w:rPr>
        <w:t>HML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t</w:t>
      </w:r>
      <w:proofErr w:type="spellEnd"/>
      <w:r w:rsidRPr="00E23532">
        <w:rPr>
          <w:rFonts w:ascii="Times New Roman" w:hAnsi="Times New Roman" w:cs="B Lotus"/>
          <w:sz w:val="26"/>
          <w:szCs w:val="26"/>
        </w:rPr>
        <w:t xml:space="preserve"> + β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3</w:t>
      </w:r>
      <w:r w:rsidRPr="00E23532">
        <w:rPr>
          <w:rFonts w:ascii="Times New Roman" w:hAnsi="Times New Roman" w:cs="B Lotus"/>
          <w:sz w:val="26"/>
          <w:szCs w:val="26"/>
        </w:rPr>
        <w:t xml:space="preserve"> </w:t>
      </w:r>
      <w:proofErr w:type="spellStart"/>
      <w:r w:rsidRPr="00E23532">
        <w:rPr>
          <w:rFonts w:ascii="Times New Roman" w:hAnsi="Times New Roman" w:cs="B Lotus"/>
          <w:sz w:val="26"/>
          <w:szCs w:val="26"/>
        </w:rPr>
        <w:t>MKT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t</w:t>
      </w:r>
      <w:proofErr w:type="spellEnd"/>
      <w:r w:rsidRPr="00E23532">
        <w:rPr>
          <w:rFonts w:ascii="Times New Roman" w:hAnsi="Times New Roman" w:cs="B Lotus"/>
          <w:sz w:val="26"/>
          <w:szCs w:val="26"/>
        </w:rPr>
        <w:t xml:space="preserve"> + </w:t>
      </w:r>
      <w:proofErr w:type="spellStart"/>
      <w:r w:rsidRPr="00E23532">
        <w:rPr>
          <w:rFonts w:ascii="Times New Roman" w:hAnsi="Times New Roman" w:cs="B Lotus"/>
          <w:sz w:val="26"/>
          <w:szCs w:val="26"/>
        </w:rPr>
        <w:t>ε</w:t>
      </w:r>
      <w:r w:rsidRPr="00E23532">
        <w:rPr>
          <w:rFonts w:ascii="Times New Roman" w:hAnsi="Times New Roman" w:cs="B Lotus"/>
          <w:sz w:val="26"/>
          <w:szCs w:val="26"/>
          <w:vertAlign w:val="subscript"/>
        </w:rPr>
        <w:t>t</w:t>
      </w:r>
      <w:proofErr w:type="spellEnd"/>
    </w:p>
    <w:p w:rsidR="00A878FF" w:rsidRPr="006D2F5B" w:rsidRDefault="00A878FF" w:rsidP="00A878FF">
      <w:pPr>
        <w:bidi/>
        <w:spacing w:after="0" w:line="240" w:lineRule="auto"/>
        <w:rPr>
          <w:rFonts w:ascii="Times New Roman" w:hAnsi="Times New Roman" w:cs="B Lotus"/>
          <w:sz w:val="24"/>
          <w:szCs w:val="24"/>
        </w:rPr>
      </w:pPr>
      <w:proofErr w:type="spellStart"/>
      <w:proofErr w:type="gramStart"/>
      <w:r w:rsidRPr="008B7245">
        <w:rPr>
          <w:rFonts w:ascii="Times New Roman" w:hAnsi="Times New Roman" w:cs="B Lotus"/>
          <w:sz w:val="24"/>
          <w:szCs w:val="24"/>
        </w:rPr>
        <w:t>R</w:t>
      </w:r>
      <w:r w:rsidRPr="008B7245">
        <w:rPr>
          <w:rFonts w:ascii="Times New Roman" w:hAnsi="Times New Roman" w:cs="B Lotus"/>
          <w:sz w:val="24"/>
          <w:szCs w:val="24"/>
          <w:vertAlign w:val="subscript"/>
        </w:rPr>
        <w:t>t</w:t>
      </w:r>
      <w:proofErr w:type="spellEnd"/>
      <w:proofErr w:type="gramEnd"/>
      <w:r w:rsidRPr="008B7245">
        <w:rPr>
          <w:rFonts w:ascii="Times New Roman" w:hAnsi="Times New Roman" w:cs="B Lotus"/>
          <w:sz w:val="24"/>
          <w:szCs w:val="24"/>
        </w:rPr>
        <w:t xml:space="preserve"> – </w:t>
      </w:r>
      <w:proofErr w:type="spellStart"/>
      <w:r w:rsidRPr="008B7245">
        <w:rPr>
          <w:rFonts w:ascii="Times New Roman" w:hAnsi="Times New Roman" w:cs="B Lotus"/>
          <w:sz w:val="24"/>
          <w:szCs w:val="24"/>
        </w:rPr>
        <w:t>Rf</w:t>
      </w:r>
      <w:proofErr w:type="spellEnd"/>
      <w:r>
        <w:rPr>
          <w:rFonts w:ascii="Times New Roman" w:hAnsi="Times New Roman" w:cs="B Lotus" w:hint="cs"/>
          <w:sz w:val="24"/>
          <w:szCs w:val="24"/>
          <w:rtl/>
        </w:rPr>
        <w:t>: صرف ریسک پرتفوی سهام</w:t>
      </w:r>
    </w:p>
    <w:p w:rsidR="00A878FF" w:rsidRPr="008B7245" w:rsidRDefault="00A878FF" w:rsidP="00A878FF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proofErr w:type="spellStart"/>
      <w:proofErr w:type="gramStart"/>
      <w:r w:rsidRPr="008B7245">
        <w:rPr>
          <w:rFonts w:ascii="Times New Roman" w:hAnsi="Times New Roman" w:cs="B Lotus"/>
          <w:sz w:val="24"/>
          <w:szCs w:val="24"/>
        </w:rPr>
        <w:t>R</w:t>
      </w:r>
      <w:r w:rsidRPr="008B7245">
        <w:rPr>
          <w:rFonts w:ascii="Times New Roman" w:hAnsi="Times New Roman" w:cs="B Lotus"/>
          <w:sz w:val="24"/>
          <w:szCs w:val="24"/>
          <w:vertAlign w:val="subscript"/>
        </w:rPr>
        <w:t>t</w:t>
      </w:r>
      <w:proofErr w:type="spellEnd"/>
      <w:proofErr w:type="gramEnd"/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: بازده پرتفو</w:t>
      </w:r>
    </w:p>
    <w:p w:rsidR="00A878FF" w:rsidRPr="008B7245" w:rsidRDefault="00A878FF" w:rsidP="00A878FF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proofErr w:type="spellStart"/>
      <w:proofErr w:type="gramStart"/>
      <w:r w:rsidRPr="008B7245">
        <w:rPr>
          <w:rFonts w:ascii="Times New Roman" w:hAnsi="Times New Roman" w:cs="B Lotus"/>
          <w:sz w:val="24"/>
          <w:szCs w:val="24"/>
        </w:rPr>
        <w:t>Rf</w:t>
      </w:r>
      <w:proofErr w:type="spellEnd"/>
      <w:proofErr w:type="gramEnd"/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: بازده بدون ریسک</w:t>
      </w:r>
    </w:p>
    <w:p w:rsidR="00A878FF" w:rsidRPr="008B7245" w:rsidRDefault="00A878FF" w:rsidP="00A878FF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proofErr w:type="spellStart"/>
      <w:r w:rsidRPr="008B7245">
        <w:rPr>
          <w:rFonts w:ascii="Times New Roman" w:hAnsi="Times New Roman" w:cs="B Lotus"/>
          <w:sz w:val="24"/>
          <w:szCs w:val="24"/>
        </w:rPr>
        <w:t>SMB</w:t>
      </w:r>
      <w:r w:rsidRPr="008B7245">
        <w:rPr>
          <w:rFonts w:ascii="Times New Roman" w:hAnsi="Times New Roman" w:cs="B Lotus"/>
          <w:sz w:val="24"/>
          <w:szCs w:val="24"/>
          <w:vertAlign w:val="subscript"/>
        </w:rPr>
        <w:t>t</w:t>
      </w:r>
      <w:proofErr w:type="spellEnd"/>
      <w:r w:rsidRPr="008B7245">
        <w:rPr>
          <w:rStyle w:val="FootnoteReference"/>
          <w:rFonts w:ascii="Times New Roman" w:hAnsi="Times New Roman" w:cs="B Lotus"/>
          <w:sz w:val="24"/>
          <w:szCs w:val="24"/>
        </w:rPr>
        <w:footnoteReference w:id="1"/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: عامل اندازه</w:t>
      </w:r>
    </w:p>
    <w:p w:rsidR="00A878FF" w:rsidRPr="008B7245" w:rsidRDefault="00A878FF" w:rsidP="00A878FF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8B7245">
        <w:rPr>
          <w:rStyle w:val="FootnoteReference"/>
          <w:rFonts w:ascii="Times New Roman" w:hAnsi="Times New Roman" w:cs="B Lotus"/>
          <w:sz w:val="24"/>
          <w:szCs w:val="24"/>
        </w:rPr>
        <w:footnoteReference w:id="2"/>
      </w:r>
      <w:proofErr w:type="spellStart"/>
      <w:r w:rsidRPr="008B7245">
        <w:rPr>
          <w:rFonts w:ascii="Times New Roman" w:hAnsi="Times New Roman" w:cs="B Lotus"/>
          <w:sz w:val="24"/>
          <w:szCs w:val="24"/>
        </w:rPr>
        <w:t>HML</w:t>
      </w:r>
      <w:r w:rsidRPr="008B7245">
        <w:rPr>
          <w:rFonts w:ascii="Times New Roman" w:hAnsi="Times New Roman" w:cs="B Lotus"/>
          <w:sz w:val="24"/>
          <w:szCs w:val="24"/>
          <w:vertAlign w:val="subscript"/>
        </w:rPr>
        <w:t>t</w:t>
      </w:r>
      <w:proofErr w:type="spellEnd"/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: عامل ارزش دفتری به ارزش بازار</w:t>
      </w:r>
    </w:p>
    <w:p w:rsidR="00A878FF" w:rsidRPr="008B7245" w:rsidRDefault="00A878FF" w:rsidP="00A878FF">
      <w:pPr>
        <w:bidi/>
        <w:spacing w:after="12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/>
          <w:sz w:val="24"/>
          <w:szCs w:val="24"/>
        </w:rPr>
        <w:t>MKT</w:t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: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صرف ریسک بازار که برابر با </w:t>
      </w:r>
      <w:r w:rsidRPr="008B7245">
        <w:rPr>
          <w:rFonts w:ascii="Times New Roman" w:hAnsi="Times New Roman" w:cs="B Lotus"/>
          <w:sz w:val="24"/>
          <w:szCs w:val="24"/>
        </w:rPr>
        <w:t>(</w:t>
      </w:r>
      <w:proofErr w:type="spellStart"/>
      <w:r w:rsidRPr="008B7245">
        <w:rPr>
          <w:rFonts w:ascii="Times New Roman" w:hAnsi="Times New Roman" w:cs="B Lotus"/>
          <w:sz w:val="24"/>
          <w:szCs w:val="24"/>
        </w:rPr>
        <w:t>Rm</w:t>
      </w:r>
      <w:proofErr w:type="spellEnd"/>
      <w:r w:rsidRPr="008B7245">
        <w:rPr>
          <w:rFonts w:ascii="Times New Roman" w:hAnsi="Times New Roman" w:cs="B Lotus"/>
          <w:sz w:val="24"/>
          <w:szCs w:val="24"/>
        </w:rPr>
        <w:t xml:space="preserve">- </w:t>
      </w:r>
      <w:proofErr w:type="spellStart"/>
      <w:proofErr w:type="gramStart"/>
      <w:r w:rsidRPr="008B7245">
        <w:rPr>
          <w:rFonts w:ascii="Times New Roman" w:hAnsi="Times New Roman" w:cs="B Lotus"/>
          <w:sz w:val="24"/>
          <w:szCs w:val="24"/>
        </w:rPr>
        <w:t>Rf</w:t>
      </w:r>
      <w:proofErr w:type="spellEnd"/>
      <w:proofErr w:type="gramEnd"/>
      <w:r w:rsidRPr="008B7245">
        <w:rPr>
          <w:rFonts w:ascii="Times New Roman" w:hAnsi="Times New Roman" w:cs="B Lotus"/>
          <w:sz w:val="24"/>
          <w:szCs w:val="24"/>
        </w:rPr>
        <w:t>)</w:t>
      </w:r>
    </w:p>
    <w:p w:rsidR="00A878FF" w:rsidRPr="008B7245" w:rsidRDefault="00A878FF" w:rsidP="00A878FF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8B7245">
        <w:rPr>
          <w:rFonts w:ascii="Times New Roman" w:hAnsi="Times New Roman" w:cs="B Lotus" w:hint="cs"/>
          <w:b/>
          <w:bCs/>
          <w:sz w:val="24"/>
          <w:szCs w:val="24"/>
          <w:highlight w:val="green"/>
          <w:rtl/>
          <w:lang w:bidi="fa-IR"/>
        </w:rPr>
        <w:t>نکته</w:t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: بازده</w:t>
      </w:r>
      <w:r w:rsidRPr="008B7245">
        <w:rPr>
          <w:rFonts w:ascii="Times New Roman" w:hAnsi="Times New Roman" w:cs="B Lotus"/>
          <w:sz w:val="24"/>
          <w:szCs w:val="24"/>
          <w:rtl/>
          <w:lang w:bidi="fa-IR"/>
        </w:rPr>
        <w:softHyphen/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های ماهانه که برای پرتفوبندی</w:t>
      </w:r>
      <w:r w:rsidRPr="008B7245">
        <w:rPr>
          <w:rFonts w:ascii="Times New Roman" w:hAnsi="Times New Roman" w:cs="B Lotus"/>
          <w:sz w:val="24"/>
          <w:szCs w:val="24"/>
          <w:rtl/>
          <w:lang w:bidi="fa-IR"/>
        </w:rPr>
        <w:softHyphen/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های مدل فاما و فرنچ استفاده شده است از ماه 7ام هر سال (ژولای) تا پایان ماه 6ام سال بعد (ژوئن) می</w:t>
      </w:r>
      <w:r w:rsidRPr="008B7245">
        <w:rPr>
          <w:rFonts w:ascii="Times New Roman" w:hAnsi="Times New Roman" w:cs="B Lotus"/>
          <w:sz w:val="24"/>
          <w:szCs w:val="24"/>
          <w:rtl/>
          <w:lang w:bidi="fa-IR"/>
        </w:rPr>
        <w:softHyphen/>
      </w:r>
      <w:r w:rsidRPr="008B7245">
        <w:rPr>
          <w:rFonts w:ascii="Times New Roman" w:hAnsi="Times New Roman" w:cs="B Lotus" w:hint="cs"/>
          <w:sz w:val="24"/>
          <w:szCs w:val="24"/>
          <w:rtl/>
          <w:lang w:bidi="fa-IR"/>
        </w:rPr>
        <w:t>باشد (صفحه 9 مقاله بیس).</w:t>
      </w:r>
    </w:p>
    <w:p w:rsidR="003641B1" w:rsidRDefault="003641B1">
      <w:bookmarkStart w:id="0" w:name="_GoBack"/>
      <w:bookmarkEnd w:id="0"/>
    </w:p>
    <w:sectPr w:rsidR="0036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79" w:rsidRDefault="00854379" w:rsidP="00A878FF">
      <w:pPr>
        <w:spacing w:after="0" w:line="240" w:lineRule="auto"/>
      </w:pPr>
      <w:r>
        <w:separator/>
      </w:r>
    </w:p>
  </w:endnote>
  <w:endnote w:type="continuationSeparator" w:id="0">
    <w:p w:rsidR="00854379" w:rsidRDefault="00854379" w:rsidP="00A8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79" w:rsidRDefault="00854379" w:rsidP="00A878FF">
      <w:pPr>
        <w:spacing w:after="0" w:line="240" w:lineRule="auto"/>
      </w:pPr>
      <w:r>
        <w:separator/>
      </w:r>
    </w:p>
  </w:footnote>
  <w:footnote w:type="continuationSeparator" w:id="0">
    <w:p w:rsidR="00854379" w:rsidRDefault="00854379" w:rsidP="00A878FF">
      <w:pPr>
        <w:spacing w:after="0" w:line="240" w:lineRule="auto"/>
      </w:pPr>
      <w:r>
        <w:continuationSeparator/>
      </w:r>
    </w:p>
  </w:footnote>
  <w:footnote w:id="1">
    <w:p w:rsidR="00A878FF" w:rsidRDefault="00A878FF" w:rsidP="00A878FF">
      <w:pPr>
        <w:pStyle w:val="FootnoteText"/>
      </w:pPr>
      <w:r>
        <w:rPr>
          <w:rStyle w:val="FootnoteReference"/>
        </w:rPr>
        <w:footnoteRef/>
      </w:r>
      <w:r>
        <w:t xml:space="preserve"> . Small Minus Big</w:t>
      </w:r>
    </w:p>
  </w:footnote>
  <w:footnote w:id="2">
    <w:p w:rsidR="00A878FF" w:rsidRDefault="00A878FF" w:rsidP="00A878FF">
      <w:pPr>
        <w:pStyle w:val="FootnoteText"/>
      </w:pPr>
      <w:r>
        <w:rPr>
          <w:rStyle w:val="FootnoteReference"/>
        </w:rPr>
        <w:footnoteRef/>
      </w:r>
      <w:r>
        <w:t xml:space="preserve"> . High Minus Low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F"/>
    <w:rsid w:val="002B12BF"/>
    <w:rsid w:val="003641B1"/>
    <w:rsid w:val="00854379"/>
    <w:rsid w:val="00A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646EB-03A0-41C4-8848-1122614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78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8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2017-11-25T06:47:00Z</dcterms:created>
  <dcterms:modified xsi:type="dcterms:W3CDTF">2017-11-25T06:48:00Z</dcterms:modified>
</cp:coreProperties>
</file>