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E2" w:rsidRDefault="00CB58E2" w:rsidP="00CB58E2">
      <w:pPr>
        <w:pStyle w:val="Heading1"/>
        <w:bidi/>
        <w:rPr>
          <w:rtl/>
        </w:rPr>
      </w:pPr>
    </w:p>
    <w:p w:rsidR="00CB58E2" w:rsidRDefault="0015391C" w:rsidP="00102CE0">
      <w:pPr>
        <w:pStyle w:val="Heading1"/>
        <w:bidi/>
        <w:spacing w:line="360" w:lineRule="auto"/>
        <w:rPr>
          <w:rtl/>
        </w:rPr>
      </w:pPr>
      <w:r>
        <w:rPr>
          <w:rFonts w:hint="cs"/>
          <w:rtl/>
        </w:rPr>
        <w:t xml:space="preserve">تأثیر </w:t>
      </w:r>
      <w:r w:rsidR="00102CE0" w:rsidRPr="00102CE0">
        <w:rPr>
          <w:rFonts w:hint="cs"/>
          <w:rtl/>
        </w:rPr>
        <w:t>محیط</w:t>
      </w:r>
      <w:r>
        <w:rPr>
          <w:rFonts w:hint="cs"/>
          <w:rtl/>
        </w:rPr>
        <w:t xml:space="preserve"> رهایش بر سینتیک </w:t>
      </w:r>
      <w:r w:rsidR="00102CE0">
        <w:rPr>
          <w:rFonts w:hint="cs"/>
          <w:rtl/>
        </w:rPr>
        <w:t>رهایش رزمارینیک اسید از نانوالیاف سلولز استات</w:t>
      </w:r>
      <w:r w:rsidR="00CB58E2">
        <w:rPr>
          <w:rFonts w:hint="cs"/>
          <w:rtl/>
        </w:rPr>
        <w:t xml:space="preserve"> </w:t>
      </w:r>
    </w:p>
    <w:p w:rsidR="00CB58E2" w:rsidRPr="00C23FCC" w:rsidRDefault="00102CE0" w:rsidP="00102CE0">
      <w:pPr>
        <w:pStyle w:val="Heading1"/>
        <w:bidi/>
        <w:spacing w:after="24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الهام وطن‌خواه</w:t>
      </w:r>
      <w:r w:rsidR="00CB58E2" w:rsidRPr="00C23FCC">
        <w:rPr>
          <w:rFonts w:hint="cs"/>
          <w:sz w:val="24"/>
          <w:szCs w:val="24"/>
          <w:vertAlign w:val="superscript"/>
          <w:rtl/>
        </w:rPr>
        <w:t>1</w:t>
      </w:r>
    </w:p>
    <w:p w:rsidR="00CB58E2" w:rsidRPr="00C23FCC" w:rsidRDefault="00CB58E2" w:rsidP="00102CE0">
      <w:pPr>
        <w:pStyle w:val="Heading1"/>
        <w:bidi/>
        <w:rPr>
          <w:b w:val="0"/>
          <w:bCs w:val="0"/>
          <w:sz w:val="20"/>
          <w:szCs w:val="20"/>
          <w:rtl/>
        </w:rPr>
      </w:pP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 w:rsidR="00102CE0">
        <w:rPr>
          <w:rFonts w:hint="cs"/>
          <w:b w:val="0"/>
          <w:bCs w:val="0"/>
          <w:sz w:val="20"/>
          <w:szCs w:val="20"/>
          <w:rtl/>
        </w:rPr>
        <w:t>دانشگاه شهید بهشتی، دانشکده مهندسی فناوری‌های نوین، گروه سامانه‌های زیستی</w:t>
      </w:r>
    </w:p>
    <w:p w:rsidR="00E90E2B" w:rsidRPr="00C23FCC" w:rsidRDefault="0013121C" w:rsidP="00102CE0">
      <w:pPr>
        <w:jc w:val="center"/>
        <w:rPr>
          <w:rFonts w:cs="B Nazanin"/>
          <w:sz w:val="20"/>
          <w:szCs w:val="20"/>
        </w:rPr>
      </w:pPr>
      <w:r w:rsidRPr="00C23FCC">
        <w:rPr>
          <w:sz w:val="20"/>
          <w:szCs w:val="20"/>
          <w:rtl/>
        </w:rPr>
        <w:t>٭</w:t>
      </w:r>
      <w:r w:rsidR="00102CE0">
        <w:rPr>
          <w:rFonts w:cs="B Nazanin"/>
          <w:sz w:val="20"/>
          <w:szCs w:val="20"/>
        </w:rPr>
        <w:t>e_vatankhah@sbu.ac.ir</w:t>
      </w:r>
    </w:p>
    <w:p w:rsidR="002A578F" w:rsidRDefault="002A578F" w:rsidP="00CB58E2">
      <w:pPr>
        <w:jc w:val="lowKashida"/>
        <w:rPr>
          <w:rFonts w:cs="B Nazanin"/>
          <w:b/>
          <w:bCs/>
          <w:sz w:val="22"/>
          <w:szCs w:val="22"/>
        </w:rPr>
      </w:pPr>
    </w:p>
    <w:p w:rsidR="00CB58E2" w:rsidRPr="006D7D94" w:rsidRDefault="00CB58E2" w:rsidP="00CB58E2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E90E2B" w:rsidRPr="00B52BF4" w:rsidRDefault="00102CE0" w:rsidP="007C12F2">
      <w:pPr>
        <w:jc w:val="lowKashida"/>
        <w:rPr>
          <w:rFonts w:ascii="Cambria" w:eastAsia="MS Mincho" w:hAnsi="Cambria" w:cs="B Nazanin" w:hint="cs"/>
          <w:sz w:val="18"/>
          <w:szCs w:val="22"/>
          <w:rtl/>
          <w:lang w:eastAsia="ja-JP"/>
        </w:rPr>
      </w:pPr>
      <w:r w:rsidRPr="00B52BF4">
        <w:rPr>
          <w:rFonts w:cs="B Nazanin" w:hint="cs"/>
          <w:sz w:val="18"/>
          <w:szCs w:val="22"/>
          <w:rtl/>
        </w:rPr>
        <w:t xml:space="preserve">رزمارینیک اسید </w:t>
      </w:r>
      <w:r w:rsidRPr="00B52BF4">
        <w:rPr>
          <w:rFonts w:cs="B Nazanin"/>
          <w:sz w:val="18"/>
          <w:szCs w:val="22"/>
        </w:rPr>
        <w:t>(RA)</w:t>
      </w:r>
      <w:r w:rsidRPr="00B52BF4">
        <w:rPr>
          <w:rFonts w:cs="B Nazanin" w:hint="cs"/>
          <w:sz w:val="18"/>
          <w:szCs w:val="22"/>
          <w:rtl/>
        </w:rPr>
        <w:t xml:space="preserve"> دارویی با منشأ گیاهی است و دارای خواص زیستی متعدد از جمله خواص ضدویروسی، ضدباکتریایی، ضدالتهابی، آنتی‌متاستاتیک و آنتی‌اکسیدانی است. اما حساسیت آن به شرایط محیطی و تخریب در برابر نور و اکسیژن</w:t>
      </w:r>
      <w:r w:rsidR="00B52BF4" w:rsidRPr="00B52BF4">
        <w:rPr>
          <w:rFonts w:cs="B Nazanin" w:hint="cs"/>
          <w:sz w:val="18"/>
          <w:szCs w:val="22"/>
          <w:rtl/>
        </w:rPr>
        <w:t xml:space="preserve">، استفاده مستقیم از آن را محدود </w:t>
      </w:r>
      <w:r w:rsidR="00B52BF4">
        <w:rPr>
          <w:rFonts w:cs="B Nazanin" w:hint="cs"/>
          <w:sz w:val="18"/>
          <w:szCs w:val="22"/>
          <w:rtl/>
        </w:rPr>
        <w:t>می‌کند</w:t>
      </w:r>
      <w:r w:rsidR="00B52BF4" w:rsidRPr="00B52BF4">
        <w:rPr>
          <w:rFonts w:cs="B Nazanin" w:hint="cs"/>
          <w:sz w:val="18"/>
          <w:szCs w:val="22"/>
          <w:rtl/>
        </w:rPr>
        <w:t>.</w:t>
      </w:r>
      <w:r w:rsidRPr="00B52BF4">
        <w:rPr>
          <w:rFonts w:cs="B Nazanin" w:hint="cs"/>
          <w:sz w:val="18"/>
          <w:szCs w:val="22"/>
          <w:rtl/>
        </w:rPr>
        <w:t xml:space="preserve"> </w:t>
      </w:r>
      <w:r w:rsidR="00B52BF4" w:rsidRPr="00B52BF4">
        <w:rPr>
          <w:rFonts w:cs="B Nazanin" w:hint="cs"/>
          <w:sz w:val="18"/>
          <w:szCs w:val="22"/>
          <w:rtl/>
        </w:rPr>
        <w:t>در مطالعه حاضر، برای رفع این مشکل و به منظور استفاده از این دارو در پچ‌های ترانس‌درمال</w:t>
      </w:r>
      <w:r w:rsidR="00B52BF4">
        <w:rPr>
          <w:rFonts w:cs="B Nazanin" w:hint="cs"/>
          <w:sz w:val="18"/>
          <w:szCs w:val="22"/>
          <w:rtl/>
        </w:rPr>
        <w:t xml:space="preserve"> یا پانسمان‌های زخم</w:t>
      </w:r>
      <w:r w:rsidR="00B52BF4" w:rsidRPr="00B52BF4">
        <w:rPr>
          <w:rFonts w:cs="B Nazanin" w:hint="cs"/>
          <w:sz w:val="18"/>
          <w:szCs w:val="22"/>
          <w:rtl/>
        </w:rPr>
        <w:t xml:space="preserve">، با استفاده از فرایند الکتروریسی، رزمارینیک اسید در نانوالیاف سلولزاستات </w:t>
      </w:r>
      <w:r w:rsidR="00B52BF4" w:rsidRPr="00B52BF4">
        <w:rPr>
          <w:rFonts w:cs="B Nazanin"/>
          <w:sz w:val="18"/>
          <w:szCs w:val="22"/>
        </w:rPr>
        <w:t>(CA)</w:t>
      </w:r>
      <w:r w:rsidR="00B52BF4" w:rsidRPr="00B52BF4">
        <w:rPr>
          <w:rFonts w:cs="B Nazanin" w:hint="cs"/>
          <w:sz w:val="18"/>
          <w:szCs w:val="22"/>
          <w:rtl/>
        </w:rPr>
        <w:t xml:space="preserve"> بارگذاری گردید. </w:t>
      </w:r>
      <w:r w:rsidR="00B52BF4">
        <w:rPr>
          <w:rFonts w:cs="B Nazanin" w:hint="cs"/>
          <w:sz w:val="18"/>
          <w:szCs w:val="22"/>
          <w:rtl/>
        </w:rPr>
        <w:t xml:space="preserve">مورفولوژی الیاف به کمک تصاویر میکروسکوپ الکترونی بررسی شد و موفقیت بارگذاری دارو در نانوالیاف با استفاده از </w:t>
      </w:r>
      <w:r w:rsidR="00481799">
        <w:rPr>
          <w:rFonts w:cs="B Nazanin" w:hint="cs"/>
          <w:sz w:val="18"/>
          <w:szCs w:val="22"/>
          <w:rtl/>
        </w:rPr>
        <w:t xml:space="preserve">طیف‌سنجی مادن قرمز و </w:t>
      </w:r>
      <w:r w:rsidR="00A44017">
        <w:rPr>
          <w:rFonts w:cs="B Nazanin" w:hint="cs"/>
          <w:sz w:val="18"/>
          <w:szCs w:val="22"/>
          <w:rtl/>
        </w:rPr>
        <w:t xml:space="preserve">کالریمتری روبشی تفاضلی مورد تأیید قرار گرفت. پس از اندازه‌گیری میزان بهره‌وری بارگذاری دارو، </w:t>
      </w:r>
      <w:r w:rsidR="00B52BF4" w:rsidRPr="00B52BF4">
        <w:rPr>
          <w:rFonts w:cs="B Nazanin" w:hint="cs"/>
          <w:sz w:val="18"/>
          <w:szCs w:val="22"/>
          <w:rtl/>
        </w:rPr>
        <w:t xml:space="preserve">به منظور مطالعه پروفایل و سینتیک رهایش دارو </w:t>
      </w:r>
      <w:r w:rsidR="00A44017">
        <w:rPr>
          <w:rFonts w:cs="B Nazanin" w:hint="cs"/>
          <w:sz w:val="18"/>
          <w:szCs w:val="22"/>
          <w:rtl/>
        </w:rPr>
        <w:t xml:space="preserve">طی مدت زمان 64 ساعت، </w:t>
      </w:r>
      <w:r w:rsidR="00B52BF4" w:rsidRPr="00B52BF4">
        <w:rPr>
          <w:rFonts w:cs="B Nazanin" w:hint="cs"/>
          <w:sz w:val="18"/>
          <w:szCs w:val="22"/>
          <w:rtl/>
        </w:rPr>
        <w:t xml:space="preserve">از دو محیط رهایش شامل محلول </w:t>
      </w:r>
      <w:r w:rsidR="00B52BF4" w:rsidRPr="00B52BF4">
        <w:rPr>
          <w:rFonts w:cs="B Nazanin" w:hint="cs"/>
          <w:sz w:val="18"/>
          <w:szCs w:val="22"/>
          <w:rtl/>
        </w:rPr>
        <w:t>بافر نمکی فسفات</w:t>
      </w:r>
      <w:r w:rsidR="00B52BF4" w:rsidRPr="00B52BF4">
        <w:rPr>
          <w:rFonts w:cs="B Nazanin" w:hint="cs"/>
          <w:sz w:val="18"/>
          <w:szCs w:val="22"/>
          <w:rtl/>
        </w:rPr>
        <w:t xml:space="preserve"> </w:t>
      </w:r>
      <w:r w:rsidR="00B52BF4" w:rsidRPr="00B52BF4">
        <w:rPr>
          <w:rFonts w:cs="B Nazanin"/>
          <w:sz w:val="18"/>
          <w:szCs w:val="22"/>
        </w:rPr>
        <w:t>(PBS)</w:t>
      </w:r>
      <w:r w:rsidR="00B52BF4" w:rsidRPr="00B52BF4">
        <w:rPr>
          <w:rFonts w:cs="B Nazanin" w:hint="cs"/>
          <w:sz w:val="18"/>
          <w:szCs w:val="22"/>
          <w:rtl/>
        </w:rPr>
        <w:t xml:space="preserve"> با 4/7=</w:t>
      </w:r>
      <w:r w:rsidR="00B52BF4" w:rsidRPr="00B52BF4">
        <w:rPr>
          <w:rFonts w:cs="B Nazanin"/>
          <w:sz w:val="18"/>
          <w:szCs w:val="22"/>
        </w:rPr>
        <w:t>pH</w:t>
      </w:r>
      <w:r w:rsidR="00B52BF4" w:rsidRPr="00B52BF4">
        <w:rPr>
          <w:rFonts w:cs="B Nazanin" w:hint="cs"/>
          <w:sz w:val="18"/>
          <w:szCs w:val="22"/>
          <w:rtl/>
        </w:rPr>
        <w:t xml:space="preserve"> و محلول </w:t>
      </w:r>
      <w:r w:rsidR="00B52BF4" w:rsidRPr="00B52BF4">
        <w:rPr>
          <w:rFonts w:cs="B Nazanin" w:hint="cs"/>
          <w:sz w:val="18"/>
          <w:szCs w:val="22"/>
          <w:rtl/>
        </w:rPr>
        <w:t>محلول بافر سدیم استات</w:t>
      </w:r>
      <w:r w:rsidR="00B52BF4" w:rsidRPr="00B52BF4">
        <w:rPr>
          <w:rFonts w:cs="B Nazanin" w:hint="cs"/>
          <w:sz w:val="18"/>
          <w:szCs w:val="22"/>
          <w:rtl/>
        </w:rPr>
        <w:t xml:space="preserve"> </w:t>
      </w:r>
      <w:r w:rsidR="00B52BF4" w:rsidRPr="00B52BF4">
        <w:rPr>
          <w:rFonts w:cs="B Nazanin"/>
          <w:sz w:val="18"/>
          <w:szCs w:val="22"/>
        </w:rPr>
        <w:t>(NAS)</w:t>
      </w:r>
      <w:r w:rsidR="00B52BF4" w:rsidRPr="00B52BF4">
        <w:rPr>
          <w:rFonts w:cs="B Nazanin" w:hint="cs"/>
          <w:sz w:val="18"/>
          <w:szCs w:val="22"/>
          <w:rtl/>
        </w:rPr>
        <w:t xml:space="preserve"> با 5/5=</w:t>
      </w:r>
      <w:r w:rsidR="00B52BF4" w:rsidRPr="00B52BF4">
        <w:rPr>
          <w:rFonts w:cs="B Nazanin"/>
          <w:sz w:val="18"/>
          <w:szCs w:val="22"/>
        </w:rPr>
        <w:t>pH</w:t>
      </w:r>
      <w:r w:rsidR="00B52BF4" w:rsidRPr="00B52BF4">
        <w:rPr>
          <w:rFonts w:cs="B Nazanin" w:hint="cs"/>
          <w:sz w:val="18"/>
          <w:szCs w:val="22"/>
          <w:rtl/>
        </w:rPr>
        <w:t xml:space="preserve"> استفاده شد</w:t>
      </w:r>
      <w:r w:rsidR="00A44017">
        <w:rPr>
          <w:rFonts w:cs="B Nazanin" w:hint="cs"/>
          <w:sz w:val="18"/>
          <w:szCs w:val="22"/>
          <w:rtl/>
        </w:rPr>
        <w:t xml:space="preserve"> که نتایج بیانگر سرعت بیشتر رهایش در محلول </w:t>
      </w:r>
      <w:r w:rsidR="00A44017">
        <w:rPr>
          <w:rFonts w:cs="B Nazanin"/>
          <w:sz w:val="18"/>
          <w:szCs w:val="22"/>
        </w:rPr>
        <w:t>NAS</w:t>
      </w:r>
      <w:r w:rsidR="00A44017">
        <w:rPr>
          <w:rFonts w:cs="B Nazanin" w:hint="cs"/>
          <w:sz w:val="18"/>
          <w:szCs w:val="22"/>
          <w:rtl/>
        </w:rPr>
        <w:t xml:space="preserve"> بود. در نهایت به کمک اندازه‌گیری تورم و افت </w:t>
      </w:r>
      <w:r w:rsidR="007C12F2">
        <w:rPr>
          <w:rFonts w:cs="B Nazanin" w:hint="cs"/>
          <w:sz w:val="18"/>
          <w:szCs w:val="22"/>
          <w:rtl/>
        </w:rPr>
        <w:t>وزن</w:t>
      </w:r>
      <w:r w:rsidR="00A44017">
        <w:rPr>
          <w:rFonts w:cs="B Nazanin" w:hint="cs"/>
          <w:sz w:val="18"/>
          <w:szCs w:val="22"/>
          <w:rtl/>
        </w:rPr>
        <w:t xml:space="preserve"> نمونه‌ها در این دو محیط طی 24 ساعت، مکانیسم کنترل‌کننده سرعت رهایش تعیین شد. </w:t>
      </w:r>
      <w:r w:rsidR="00B52BF4" w:rsidRPr="00B52BF4">
        <w:rPr>
          <w:rFonts w:cs="B Nazanin" w:hint="cs"/>
          <w:sz w:val="18"/>
          <w:szCs w:val="22"/>
          <w:rtl/>
        </w:rPr>
        <w:t xml:space="preserve">  </w:t>
      </w:r>
    </w:p>
    <w:p w:rsidR="00E90E2B" w:rsidRPr="00C23FCC" w:rsidRDefault="0013121C" w:rsidP="00A44017">
      <w:pPr>
        <w:jc w:val="lowKashida"/>
      </w:pPr>
      <w:r w:rsidRPr="006D7D94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6D7D94">
        <w:rPr>
          <w:rFonts w:cs="B Nazanin" w:hint="cs"/>
          <w:sz w:val="22"/>
          <w:szCs w:val="22"/>
          <w:rtl/>
        </w:rPr>
        <w:t>:</w:t>
      </w:r>
      <w:r w:rsidR="00D84B0E" w:rsidRPr="006D7D94">
        <w:rPr>
          <w:rFonts w:cs="B Nazanin" w:hint="cs"/>
          <w:sz w:val="22"/>
          <w:szCs w:val="22"/>
          <w:rtl/>
        </w:rPr>
        <w:t xml:space="preserve"> </w:t>
      </w:r>
      <w:r w:rsidR="00A44017">
        <w:rPr>
          <w:rFonts w:cs="B Nazanin" w:hint="cs"/>
          <w:sz w:val="22"/>
          <w:szCs w:val="22"/>
          <w:rtl/>
        </w:rPr>
        <w:t>نانوالیاف سلولز استات، رزمارینیک اسید، الکتروریسی، رهایش دارو، سینتیک رهایش.</w:t>
      </w:r>
    </w:p>
    <w:p w:rsidR="00E90E2B" w:rsidRDefault="00E90E2B" w:rsidP="00E90E2B">
      <w:pPr>
        <w:jc w:val="lowKashida"/>
      </w:pPr>
    </w:p>
    <w:p w:rsidR="00E90E2B" w:rsidRPr="00215F77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:rsidR="00B60838" w:rsidRPr="001538A1" w:rsidRDefault="00B60838" w:rsidP="00396893">
      <w:pPr>
        <w:ind w:left="17" w:right="164"/>
        <w:jc w:val="both"/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</w:pP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رزمارینیک اسید یک ترکیب پلی‏فنولی با خواص زیستی متعدد است که در گونه‏های مختلف خانواده نعناعیان همچون رزماری، نعناع زینتی، فرنجمشک و در گیاهان مورد استفاده در پزشکی سنتی چین وجود دارد. رزمارینیک ‌اسید به‏عنوان داروی ضد التهاب غیر استروئیدی و داروی سیستم اعصاب محیطی در بانک انستیتو بیوانفورماتیک اروپا نیز به ‏ثبت رسیده است. وزن مولکولی رزمارینیک ‌اسید </w:t>
      </w:r>
      <w:r w:rsidRPr="001538A1">
        <w:rPr>
          <w:rStyle w:val="Char0"/>
          <w:rFonts w:ascii="Times New Roman" w:eastAsia="MS Mincho" w:hAnsi="Times New Roman" w:cs="B Nazanin"/>
          <w:sz w:val="20"/>
          <w:szCs w:val="24"/>
        </w:rPr>
        <w:t>g/mol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31/360 است</w:t>
      </w:r>
      <w:r w:rsidRPr="001538A1">
        <w:rPr>
          <w:rStyle w:val="Char0"/>
          <w:rFonts w:ascii="Times New Roman" w:eastAsia="MS Mincho" w:hAnsi="Times New Roman" w:cs="B Nazanin"/>
          <w:sz w:val="20"/>
          <w:szCs w:val="24"/>
        </w:rPr>
        <w:t xml:space="preserve"> 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>و بر طبق تعریف انحلال در دارونامه ایالات متحده آمریکا، دارای قابلیت انحلال کم در آب می‏باشد. یکی از مشکلات در تجویز داروهای غیر قابل انحلال یا دارای انحلال محدود در آب فراهمی زیستی پائین این داروها می‏باشد و بنابراین بهبود حلالیت یا نرخ انحلال این داروها از طریق طراحی و توسعه مواد، فناوری‏ها و فرایندهای جدید، زمینه‏های تحقیقاتی متعدد در علم داروسازی به‏شمار می‏رود. استفاده از نانوتکنولوژی جهت کاهش سایز و تولید نانو/میکروساختار با هدف افزایش سطح مخصوص دارو‏ و یا تغییر ساختار بلورینگی دارو و نیز استفاده از روش‏های تولید محلول جامد و یا دیسپرس جامد از جمله استراتژی‏های پرکاربرد جهت بهبود انحلال‏پذیری داروها می‏باشد</w:t>
      </w:r>
      <w:r w:rsidR="0043497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[1]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. ترکیب فرایندهای محلول/ دیسپرس جامد با نانوتکنولوژی از جمله روش‏های مورد توجه جهت بارگذاری </w:t>
      </w:r>
      <w:r w:rsidR="003F2BD8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>چنین داروهایی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می‏باشد. از جمله این روش‏ها می‏توان به روش‏های الکتروهیدرودینامیکی همچون الکتروریسی اشاره کرد</w:t>
      </w:r>
      <w:r w:rsidR="0043497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[1]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>. ساده‏ترین و پرکاربردترین روش جهت بارگذاری دارو در فرایند الکتروریسی، مخلوط کردن دارو و یا بیومولکول‏ها در محلول پلیمری می‏باشد. در این روش</w:t>
      </w:r>
      <w:r w:rsidR="00396893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که در این مطالعه نیز استفاده می‌شود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>، عامل دارویی در محلول پلیمری حل و یا دیسپرس می‏گردد</w:t>
      </w:r>
      <w:r w:rsidR="00301489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[</w:t>
      </w:r>
      <w:r w:rsidR="0043497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>2</w:t>
      </w:r>
      <w:r w:rsidR="00301489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>]</w:t>
      </w:r>
      <w:r w:rsidR="00396893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. 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با توجه به مزایای ذکر شده برای فرایند الکتروریسی جهت بارگذاری </w:t>
      </w:r>
      <w:r w:rsidRPr="001538A1">
        <w:rPr>
          <w:rStyle w:val="Char0"/>
          <w:rFonts w:ascii="Times New Roman" w:eastAsia="MS Mincho" w:hAnsi="Times New Roman" w:cs="B Nazanin"/>
          <w:sz w:val="20"/>
          <w:szCs w:val="24"/>
        </w:rPr>
        <w:t>RA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در نانو الیاف، امکان بارگذاری رزمارینیک ‌اسید در الیاف سلولز‌ استات با استفاده از روش الکتروریسی در این پژوهش 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lastRenderedPageBreak/>
        <w:t>مورد توجه قرار می‏گیرد</w:t>
      </w:r>
      <w:r w:rsidR="00396893" w:rsidRPr="00396893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و پروفایل و سینتیک رهایش </w:t>
      </w:r>
      <w:r w:rsidR="00396893" w:rsidRPr="001538A1">
        <w:rPr>
          <w:rStyle w:val="Char0"/>
          <w:rFonts w:ascii="Times New Roman" w:eastAsia="MS Mincho" w:hAnsi="Times New Roman" w:cs="B Nazanin"/>
          <w:sz w:val="20"/>
          <w:szCs w:val="24"/>
        </w:rPr>
        <w:t>RA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از نانوالیاف در دو محیط </w:t>
      </w:r>
      <w:r w:rsidR="00396893" w:rsidRPr="001538A1">
        <w:rPr>
          <w:rStyle w:val="Char0"/>
          <w:rFonts w:ascii="Times New Roman" w:eastAsia="MS Mincho" w:hAnsi="Times New Roman" w:cs="B Nazanin"/>
          <w:sz w:val="20"/>
          <w:szCs w:val="24"/>
        </w:rPr>
        <w:t>PBS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و </w:t>
      </w:r>
      <w:r w:rsidR="00396893" w:rsidRPr="001538A1">
        <w:rPr>
          <w:rStyle w:val="Char0"/>
          <w:rFonts w:ascii="Times New Roman" w:eastAsia="MS Mincho" w:hAnsi="Times New Roman" w:cs="B Nazanin"/>
          <w:sz w:val="20"/>
          <w:szCs w:val="24"/>
        </w:rPr>
        <w:t>NAS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که دارای </w:t>
      </w:r>
      <w:r w:rsidR="00396893" w:rsidRPr="001538A1">
        <w:rPr>
          <w:rStyle w:val="Char0"/>
          <w:rFonts w:ascii="Times New Roman" w:eastAsia="MS Mincho" w:hAnsi="Times New Roman" w:cs="B Nazanin"/>
          <w:sz w:val="20"/>
          <w:szCs w:val="24"/>
        </w:rPr>
        <w:t>pH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متفاوت</w:t>
      </w:r>
      <w:r w:rsidR="00396893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هستند مورد مقایسه قرار می‌گیرند. لازم به ذکر است که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حساسیت 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</w:rPr>
        <w:t>RA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به نور و خورشید و تخریب آن، از جمله معایب این ماده است که استفاده مستقیم از آن را به مخاطره می‌اندازد [</w:t>
      </w:r>
      <w:r w:rsidR="00396893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>5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>-</w:t>
      </w:r>
      <w:r w:rsidR="00396893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>3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] و استفاده از حامل نانولیفی می‌تواند مانع از تخریب </w:t>
      </w:r>
      <w:r w:rsidR="00396893" w:rsidRPr="001538A1">
        <w:rPr>
          <w:rStyle w:val="Char0"/>
          <w:rFonts w:ascii="Times New Roman" w:eastAsia="MS Mincho" w:hAnsi="Times New Roman" w:cs="B Nazanin"/>
          <w:sz w:val="20"/>
          <w:szCs w:val="24"/>
        </w:rPr>
        <w:t>RA</w:t>
      </w:r>
      <w:r w:rsidR="00396893"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شود.</w:t>
      </w:r>
      <w:r w:rsidRPr="001538A1">
        <w:rPr>
          <w:rStyle w:val="Char0"/>
          <w:rFonts w:ascii="Times New Roman" w:eastAsia="MS Mincho" w:hAnsi="Times New Roman" w:cs="B Nazanin" w:hint="cs"/>
          <w:sz w:val="20"/>
          <w:szCs w:val="24"/>
          <w:rtl/>
        </w:rPr>
        <w:t xml:space="preserve"> </w:t>
      </w:r>
    </w:p>
    <w:p w:rsidR="00E90E2B" w:rsidRPr="001538A1" w:rsidRDefault="00E90E2B" w:rsidP="00E90E2B">
      <w:pPr>
        <w:jc w:val="lowKashida"/>
        <w:rPr>
          <w:rtl/>
        </w:rPr>
      </w:pPr>
    </w:p>
    <w:p w:rsidR="00580702" w:rsidRPr="001538A1" w:rsidRDefault="00BA09D6" w:rsidP="00E90E2B">
      <w:pPr>
        <w:jc w:val="lowKashida"/>
        <w:rPr>
          <w:rFonts w:cs="B Nazanin"/>
          <w:b/>
          <w:bCs/>
          <w:rtl/>
        </w:rPr>
      </w:pPr>
      <w:r w:rsidRPr="001538A1">
        <w:rPr>
          <w:rFonts w:cs="B Nazanin" w:hint="cs"/>
          <w:b/>
          <w:bCs/>
          <w:rtl/>
        </w:rPr>
        <w:t xml:space="preserve">2- </w:t>
      </w:r>
      <w:r w:rsidR="00580702" w:rsidRPr="001538A1">
        <w:rPr>
          <w:rFonts w:cs="B Nazanin" w:hint="cs"/>
          <w:b/>
          <w:bCs/>
          <w:rtl/>
        </w:rPr>
        <w:t>بخش تجربی</w:t>
      </w:r>
    </w:p>
    <w:p w:rsidR="00F34FFF" w:rsidRPr="001538A1" w:rsidRDefault="00B60838" w:rsidP="00F34FFF">
      <w:pPr>
        <w:jc w:val="lowKashida"/>
        <w:rPr>
          <w:rFonts w:cs="B Nazanin"/>
          <w:sz w:val="20"/>
          <w:rtl/>
        </w:rPr>
      </w:pPr>
      <w:r w:rsidRPr="001538A1">
        <w:rPr>
          <w:rFonts w:cs="B Nazanin" w:hint="cs"/>
          <w:sz w:val="20"/>
          <w:rtl/>
        </w:rPr>
        <w:t xml:space="preserve">محلول </w:t>
      </w:r>
      <w:r w:rsidRPr="001538A1">
        <w:rPr>
          <w:rFonts w:cs="B Nazanin"/>
          <w:sz w:val="20"/>
        </w:rPr>
        <w:t>CA</w:t>
      </w:r>
      <w:r w:rsidRPr="001538A1">
        <w:rPr>
          <w:rFonts w:cs="B Nazanin" w:hint="cs"/>
          <w:sz w:val="20"/>
          <w:rtl/>
        </w:rPr>
        <w:t xml:space="preserve"> با غلظت %12 (وزنی/حجمی) در سامانه حلال دوجزئی استون و دی‌متیل‌استامید با نسبت حجمی 2 به 1 تهیه شد. محلول حاوی دارو نیز با افزودن </w:t>
      </w:r>
      <w:r w:rsidRPr="001538A1">
        <w:rPr>
          <w:rFonts w:cs="B Nazanin"/>
          <w:sz w:val="20"/>
        </w:rPr>
        <w:t>RA</w:t>
      </w:r>
      <w:r w:rsidRPr="001538A1">
        <w:rPr>
          <w:rFonts w:cs="B Nazanin" w:hint="cs"/>
          <w:sz w:val="20"/>
          <w:rtl/>
        </w:rPr>
        <w:t xml:space="preserve"> با نسبت وزنی %5 نسبت به وزن پلیمر تهیه شد. عمل الکتروریسی با استفاده از ولتاژ </w:t>
      </w:r>
      <w:r w:rsidRPr="001538A1">
        <w:rPr>
          <w:rFonts w:cs="B Nazanin"/>
          <w:sz w:val="20"/>
        </w:rPr>
        <w:t>kV</w:t>
      </w:r>
      <w:r w:rsidRPr="001538A1">
        <w:rPr>
          <w:rFonts w:cs="B Nazanin" w:hint="cs"/>
          <w:sz w:val="20"/>
          <w:rtl/>
        </w:rPr>
        <w:t xml:space="preserve"> 20 و نرخ تغذیه </w:t>
      </w:r>
      <w:r w:rsidRPr="001538A1">
        <w:rPr>
          <w:rFonts w:cs="B Nazanin"/>
          <w:sz w:val="20"/>
        </w:rPr>
        <w:t>µ</w:t>
      </w:r>
      <w:r w:rsidR="00F34FFF" w:rsidRPr="001538A1">
        <w:rPr>
          <w:rFonts w:cs="B Nazanin"/>
          <w:sz w:val="20"/>
        </w:rPr>
        <w:t>L/h</w:t>
      </w:r>
      <w:r w:rsidR="00F34FFF" w:rsidRPr="001538A1">
        <w:rPr>
          <w:rFonts w:cs="B Nazanin" w:hint="cs"/>
          <w:sz w:val="20"/>
          <w:rtl/>
        </w:rPr>
        <w:t xml:space="preserve"> 250 انجام شد و فاصله نازل تا جمع‌کننده </w:t>
      </w:r>
      <w:r w:rsidR="00F34FFF" w:rsidRPr="001538A1">
        <w:rPr>
          <w:rFonts w:cs="B Nazanin"/>
          <w:sz w:val="20"/>
        </w:rPr>
        <w:t>cm</w:t>
      </w:r>
      <w:r w:rsidR="00F34FFF" w:rsidRPr="001538A1">
        <w:rPr>
          <w:rFonts w:cs="B Nazanin" w:hint="cs"/>
          <w:sz w:val="20"/>
          <w:rtl/>
        </w:rPr>
        <w:t xml:space="preserve"> 12 تنظیم گردید.</w:t>
      </w:r>
    </w:p>
    <w:p w:rsidR="00F34FFF" w:rsidRPr="001538A1" w:rsidRDefault="00F34FFF" w:rsidP="00396893">
      <w:pPr>
        <w:pStyle w:val="NormalText"/>
        <w:spacing w:line="240" w:lineRule="auto"/>
        <w:ind w:firstLine="0"/>
        <w:rPr>
          <w:rFonts w:cs="B Nazanin"/>
          <w:sz w:val="20"/>
          <w:szCs w:val="24"/>
          <w:rtl/>
          <w:lang w:bidi="fa-IR"/>
        </w:rPr>
      </w:pPr>
      <w:r w:rsidRPr="001538A1">
        <w:rPr>
          <w:rFonts w:cs="B Nazanin" w:hint="cs"/>
          <w:sz w:val="20"/>
          <w:szCs w:val="24"/>
          <w:rtl/>
          <w:lang w:bidi="fa-IR"/>
        </w:rPr>
        <w:t xml:space="preserve">برای بررسی مورفولوژی الیاف و تعیین قطر الیاف، تصاویر میکروسکوپ الکترونی روبشی از نمونه‌ها تهیه شد. پس از تعین میزان بهره‌وری بارگذاری دارو در نانوالیاف، رهایش </w:t>
      </w:r>
      <w:r w:rsidRPr="001538A1">
        <w:rPr>
          <w:rFonts w:cs="B Nazanin"/>
          <w:sz w:val="20"/>
          <w:szCs w:val="24"/>
          <w:lang w:bidi="fa-IR"/>
        </w:rPr>
        <w:t>RA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از نانوالیاف </w:t>
      </w:r>
      <w:r w:rsidRPr="001538A1">
        <w:rPr>
          <w:rFonts w:cs="B Nazanin"/>
          <w:sz w:val="20"/>
          <w:szCs w:val="24"/>
          <w:lang w:bidi="fa-IR"/>
        </w:rPr>
        <w:t>CA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به ترتیب زیر بررسی شد. حدود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Pr="001538A1">
        <w:rPr>
          <w:rFonts w:cs="B Nazanin"/>
          <w:sz w:val="20"/>
          <w:szCs w:val="24"/>
          <w:lang w:bidi="fa-IR"/>
        </w:rPr>
        <w:t>mg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5 از نانوالیاف در </w:t>
      </w:r>
      <w:r w:rsidRPr="001538A1">
        <w:rPr>
          <w:rFonts w:cs="B Nazanin"/>
          <w:sz w:val="20"/>
          <w:szCs w:val="24"/>
          <w:lang w:bidi="fa-IR"/>
        </w:rPr>
        <w:t>mL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2 از محلول </w:t>
      </w:r>
      <w:r w:rsidRPr="001538A1">
        <w:rPr>
          <w:rFonts w:cs="B Nazanin"/>
          <w:sz w:val="20"/>
          <w:szCs w:val="24"/>
          <w:lang w:bidi="fa-IR"/>
        </w:rPr>
        <w:t>PBS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یا </w:t>
      </w:r>
      <w:r w:rsidRPr="001538A1">
        <w:rPr>
          <w:rFonts w:cs="B Nazanin"/>
          <w:sz w:val="20"/>
          <w:szCs w:val="24"/>
          <w:lang w:bidi="fa-IR"/>
        </w:rPr>
        <w:t>NAS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Pr="001538A1">
        <w:rPr>
          <w:rFonts w:cs="B Nazanin" w:hint="cs"/>
          <w:sz w:val="20"/>
          <w:szCs w:val="24"/>
          <w:rtl/>
          <w:lang w:bidi="fa-IR"/>
        </w:rPr>
        <w:t>غوطه‌ور گردید</w:t>
      </w:r>
      <w:r w:rsidR="00396893">
        <w:rPr>
          <w:rFonts w:cs="B Nazanin" w:hint="cs"/>
          <w:sz w:val="20"/>
          <w:szCs w:val="24"/>
          <w:rtl/>
          <w:lang w:bidi="fa-IR"/>
        </w:rPr>
        <w:t>ند و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Pr="001538A1">
        <w:rPr>
          <w:rFonts w:cs="B Nazanin" w:hint="cs"/>
          <w:sz w:val="20"/>
          <w:szCs w:val="24"/>
          <w:rtl/>
          <w:lang w:bidi="fa-IR"/>
        </w:rPr>
        <w:t>در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انکوباتور شیکر دار (با سرعت </w:t>
      </w:r>
      <w:r w:rsidRPr="001538A1">
        <w:rPr>
          <w:rFonts w:cs="B Nazanin"/>
          <w:sz w:val="20"/>
          <w:szCs w:val="24"/>
          <w:lang w:bidi="fa-IR"/>
        </w:rPr>
        <w:t>rpm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50) در دمای </w:t>
      </w:r>
      <w:r w:rsidRPr="001538A1">
        <w:rPr>
          <w:rFonts w:cs="B Nazanin"/>
          <w:sz w:val="20"/>
          <w:szCs w:val="24"/>
          <w:lang w:bidi="fa-IR"/>
        </w:rPr>
        <w:t>C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Pr="001538A1">
        <w:rPr>
          <w:rFonts w:cs="Cambria" w:hint="cs"/>
          <w:sz w:val="20"/>
          <w:szCs w:val="24"/>
          <w:rtl/>
          <w:lang w:bidi="fa-IR"/>
        </w:rPr>
        <w:t>°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37 </w:t>
      </w:r>
      <w:r w:rsidRPr="001538A1">
        <w:rPr>
          <w:rFonts w:cs="B Nazanin" w:hint="cs"/>
          <w:sz w:val="20"/>
          <w:szCs w:val="24"/>
          <w:rtl/>
          <w:lang w:bidi="fa-IR"/>
        </w:rPr>
        <w:t>قرار گرفتند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. در بازه‌های زمانی مشخص، محلول بافر هر لوله تخلیه و محلول بافر جدید به لوله اضافه گردید. مقدار جذب محلول خارج شده توسط دستگاه اسپکتروفتومتر، در طول موج </w:t>
      </w:r>
      <w:r w:rsidRPr="001538A1">
        <w:rPr>
          <w:rFonts w:cs="B Nazanin"/>
          <w:sz w:val="20"/>
          <w:szCs w:val="24"/>
          <w:lang w:bidi="fa-IR"/>
        </w:rPr>
        <w:t>nm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365 خوانش شد و با استفاده از منحنی استاندارد تهیه شده برای غلظت‌های </w:t>
      </w:r>
      <w:r w:rsidRPr="001538A1">
        <w:rPr>
          <w:rFonts w:cs="B Nazanin"/>
          <w:sz w:val="20"/>
          <w:szCs w:val="24"/>
          <w:lang w:bidi="fa-IR"/>
        </w:rPr>
        <w:t>µg/mL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250-4 </w:t>
      </w:r>
      <w:r w:rsidRPr="001538A1">
        <w:rPr>
          <w:rFonts w:cs="B Nazanin"/>
          <w:sz w:val="20"/>
          <w:szCs w:val="24"/>
          <w:lang w:bidi="fa-IR"/>
        </w:rPr>
        <w:t>RA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در محلول بافر </w:t>
      </w:r>
      <w:r w:rsidRPr="001538A1">
        <w:rPr>
          <w:rFonts w:cs="B Nazanin"/>
          <w:sz w:val="20"/>
          <w:szCs w:val="24"/>
          <w:lang w:bidi="fa-IR"/>
        </w:rPr>
        <w:t>PBS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یا </w:t>
      </w:r>
      <w:r w:rsidRPr="001538A1">
        <w:rPr>
          <w:rFonts w:cs="B Nazanin"/>
          <w:sz w:val="20"/>
          <w:szCs w:val="24"/>
          <w:lang w:bidi="fa-IR"/>
        </w:rPr>
        <w:t>NAS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، میزان </w:t>
      </w:r>
      <w:r w:rsidRPr="001538A1">
        <w:rPr>
          <w:rFonts w:cs="B Nazanin"/>
          <w:sz w:val="20"/>
          <w:szCs w:val="24"/>
          <w:lang w:bidi="fa-IR"/>
        </w:rPr>
        <w:t>RA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در هر نمونه محاسبه گردید. برای ترسیم پروفایل رهایش دارو، درصد تجمعی داروی رها شده از هر نمونه از رابطه </w:t>
      </w:r>
      <w:r w:rsidRPr="001538A1">
        <w:rPr>
          <w:rFonts w:cs="B Nazanin" w:hint="cs"/>
          <w:sz w:val="20"/>
          <w:szCs w:val="24"/>
          <w:rtl/>
          <w:lang w:bidi="fa-IR"/>
        </w:rPr>
        <w:t>(1)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محاسبه گردید.</w:t>
      </w: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563"/>
        <w:gridCol w:w="4188"/>
      </w:tblGrid>
      <w:tr w:rsidR="00F34FFF" w:rsidRPr="001538A1" w:rsidTr="007C12F2">
        <w:trPr>
          <w:jc w:val="center"/>
        </w:trPr>
        <w:tc>
          <w:tcPr>
            <w:tcW w:w="563" w:type="dxa"/>
            <w:vAlign w:val="center"/>
          </w:tcPr>
          <w:p w:rsidR="00F34FFF" w:rsidRPr="001538A1" w:rsidRDefault="00F34FFF" w:rsidP="00564ED1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1538A1">
              <w:rPr>
                <w:rFonts w:cs="B Nazanin" w:hint="cs"/>
                <w:sz w:val="20"/>
                <w:szCs w:val="20"/>
                <w:rtl/>
              </w:rPr>
              <w:t>(1)</w:t>
            </w:r>
          </w:p>
        </w:tc>
        <w:tc>
          <w:tcPr>
            <w:tcW w:w="4188" w:type="dxa"/>
            <w:vAlign w:val="center"/>
          </w:tcPr>
          <w:p w:rsidR="00F34FFF" w:rsidRPr="001538A1" w:rsidRDefault="00C45F10" w:rsidP="00564ED1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1538A1">
              <w:rPr>
                <w:rFonts w:cs="B Lotus"/>
                <w:position w:val="-30"/>
              </w:rPr>
              <w:object w:dxaOrig="3519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2pt;height:30.1pt" o:ole="">
                  <v:imagedata r:id="rId8" o:title=""/>
                </v:shape>
                <o:OLEObject Type="Embed" ProgID="Equation.3" ShapeID="_x0000_i1025" DrawAspect="Content" ObjectID="_1630529778" r:id="rId9"/>
              </w:object>
            </w:r>
          </w:p>
        </w:tc>
      </w:tr>
    </w:tbl>
    <w:p w:rsidR="007C12F2" w:rsidRPr="001538A1" w:rsidRDefault="00F34FFF" w:rsidP="00434971">
      <w:pPr>
        <w:pStyle w:val="NormalText"/>
        <w:spacing w:line="240" w:lineRule="auto"/>
        <w:ind w:firstLine="0"/>
        <w:rPr>
          <w:rFonts w:cs="B Zar"/>
          <w:szCs w:val="28"/>
          <w:rtl/>
          <w:lang w:bidi="fa-IR"/>
        </w:rPr>
      </w:pPr>
      <w:r w:rsidRPr="001538A1">
        <w:rPr>
          <w:rFonts w:cs="B Nazanin" w:hint="cs"/>
          <w:sz w:val="20"/>
          <w:szCs w:val="24"/>
          <w:rtl/>
          <w:lang w:bidi="fa-IR"/>
        </w:rPr>
        <w:t>که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Pr="001538A1">
        <w:rPr>
          <w:rFonts w:cs="B Nazanin"/>
          <w:sz w:val="20"/>
          <w:szCs w:val="24"/>
          <w:lang w:bidi="fa-IR"/>
        </w:rPr>
        <w:t>M</w:t>
      </w:r>
      <w:r w:rsidRPr="001538A1">
        <w:rPr>
          <w:rFonts w:cs="B Nazanin"/>
          <w:sz w:val="20"/>
          <w:szCs w:val="24"/>
          <w:vertAlign w:val="subscript"/>
          <w:lang w:bidi="fa-IR"/>
        </w:rPr>
        <w:t>t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مقدار داروی رهایش یافته از نانوالیاف در زمان </w:t>
      </w:r>
      <w:r w:rsidRPr="001538A1">
        <w:rPr>
          <w:rFonts w:cs="B Nazanin"/>
          <w:sz w:val="20"/>
          <w:szCs w:val="24"/>
          <w:lang w:bidi="fa-IR"/>
        </w:rPr>
        <w:t>t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و </w:t>
      </w:r>
      <w:r w:rsidRPr="001538A1">
        <w:rPr>
          <w:rFonts w:cs="B Nazanin"/>
          <w:sz w:val="20"/>
          <w:szCs w:val="24"/>
          <w:lang w:bidi="fa-IR"/>
        </w:rPr>
        <w:t>M</w:t>
      </w:r>
      <w:r w:rsidRPr="001538A1">
        <w:rPr>
          <w:rFonts w:cs="B Nazanin"/>
          <w:sz w:val="20"/>
          <w:szCs w:val="24"/>
          <w:vertAlign w:val="subscript"/>
          <w:lang w:bidi="fa-IR"/>
        </w:rPr>
        <w:t>∞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مقدار واقعی داروی بارگذاری شده در نانوالیاف می‌باشد.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Pr="001538A1">
        <w:rPr>
          <w:rFonts w:cs="B Nazanin" w:hint="cs"/>
          <w:sz w:val="20"/>
          <w:szCs w:val="24"/>
          <w:rtl/>
          <w:lang w:bidi="fa-IR"/>
        </w:rPr>
        <w:t>مکانیسم رهایش دارو با استفاده از رابطه ریتگر- پپاس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(رابطه </w:t>
      </w:r>
      <w:r w:rsidR="007C12F2" w:rsidRPr="001538A1">
        <w:rPr>
          <w:rFonts w:cs="B Nazanin" w:hint="cs"/>
          <w:sz w:val="20"/>
          <w:szCs w:val="24"/>
          <w:rtl/>
          <w:lang w:bidi="fa-IR"/>
        </w:rPr>
        <w:t>2</w:t>
      </w:r>
      <w:r w:rsidRPr="001538A1">
        <w:rPr>
          <w:rFonts w:cs="B Nazanin" w:hint="cs"/>
          <w:sz w:val="20"/>
          <w:szCs w:val="24"/>
          <w:rtl/>
          <w:lang w:bidi="fa-IR"/>
        </w:rPr>
        <w:t>) تعیین گردید</w:t>
      </w:r>
      <w:r w:rsidR="00301489" w:rsidRPr="001538A1">
        <w:rPr>
          <w:rFonts w:cs="B Nazanin" w:hint="cs"/>
          <w:sz w:val="20"/>
          <w:szCs w:val="24"/>
          <w:rtl/>
          <w:lang w:bidi="fa-IR"/>
        </w:rPr>
        <w:t xml:space="preserve"> [</w:t>
      </w:r>
      <w:r w:rsidR="00434971">
        <w:rPr>
          <w:rFonts w:cs="B Nazanin" w:hint="cs"/>
          <w:sz w:val="20"/>
          <w:szCs w:val="24"/>
          <w:rtl/>
          <w:lang w:bidi="fa-IR"/>
        </w:rPr>
        <w:t>6</w:t>
      </w:r>
      <w:r w:rsidR="00301489" w:rsidRPr="001538A1">
        <w:rPr>
          <w:rFonts w:cs="B Nazanin" w:hint="cs"/>
          <w:sz w:val="20"/>
          <w:szCs w:val="24"/>
          <w:rtl/>
          <w:lang w:bidi="fa-IR"/>
        </w:rPr>
        <w:t>]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. در این رابطه </w:t>
      </w:r>
      <w:r w:rsidRPr="001538A1">
        <w:rPr>
          <w:rFonts w:cs="B Nazanin"/>
          <w:sz w:val="20"/>
          <w:szCs w:val="24"/>
          <w:lang w:bidi="fa-IR"/>
        </w:rPr>
        <w:t>M</w:t>
      </w:r>
      <w:r w:rsidRPr="001538A1">
        <w:rPr>
          <w:rFonts w:cs="B Nazanin"/>
          <w:sz w:val="20"/>
          <w:szCs w:val="24"/>
          <w:vertAlign w:val="subscript"/>
          <w:lang w:bidi="fa-IR"/>
        </w:rPr>
        <w:t>t</w:t>
      </w:r>
      <w:r w:rsidRPr="001538A1">
        <w:rPr>
          <w:rFonts w:cs="B Nazanin"/>
          <w:sz w:val="20"/>
          <w:szCs w:val="24"/>
          <w:lang w:bidi="fa-IR"/>
        </w:rPr>
        <w:t>/M</w:t>
      </w:r>
      <w:r w:rsidRPr="001538A1">
        <w:rPr>
          <w:rFonts w:cs="B Nazanin"/>
          <w:sz w:val="20"/>
          <w:szCs w:val="24"/>
          <w:vertAlign w:val="subscript"/>
          <w:lang w:bidi="fa-IR"/>
        </w:rPr>
        <w:t>∞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کسر داروی رهایش یافته در زمان </w:t>
      </w:r>
      <w:r w:rsidRPr="001538A1">
        <w:rPr>
          <w:rFonts w:cs="B Nazanin"/>
          <w:sz w:val="20"/>
          <w:szCs w:val="24"/>
          <w:lang w:bidi="fa-IR"/>
        </w:rPr>
        <w:t>t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، </w:t>
      </w:r>
      <w:r w:rsidRPr="001538A1">
        <w:rPr>
          <w:rFonts w:cs="B Nazanin"/>
          <w:sz w:val="20"/>
          <w:szCs w:val="24"/>
          <w:lang w:bidi="fa-IR"/>
        </w:rPr>
        <w:t>K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ثابت سینتیک و </w:t>
      </w:r>
      <w:r w:rsidRPr="001538A1">
        <w:rPr>
          <w:rFonts w:cs="B Nazanin"/>
          <w:sz w:val="20"/>
          <w:szCs w:val="24"/>
          <w:lang w:bidi="fa-IR"/>
        </w:rPr>
        <w:t>n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معرف مکانیسم رهایش می‌باشد. </w:t>
      </w:r>
      <w:r w:rsidRPr="001538A1">
        <w:rPr>
          <w:rFonts w:cs="B Nazanin"/>
          <w:sz w:val="20"/>
          <w:szCs w:val="24"/>
          <w:lang w:bidi="fa-IR"/>
        </w:rPr>
        <w:t>K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بستگی به مشخصات فیزیکی سامانه ماتریکس/ دارو دارد و توان </w:t>
      </w:r>
      <w:r w:rsidRPr="001538A1">
        <w:rPr>
          <w:rFonts w:cs="B Nazanin"/>
          <w:sz w:val="20"/>
          <w:szCs w:val="24"/>
          <w:lang w:bidi="fa-IR"/>
        </w:rPr>
        <w:t>n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در رابطه با پدیده نفوذ می‌باشد</w:t>
      </w:r>
      <w:r w:rsidR="001538A1">
        <w:rPr>
          <w:rFonts w:cs="B Nazanin" w:hint="cs"/>
          <w:sz w:val="20"/>
          <w:szCs w:val="24"/>
          <w:rtl/>
          <w:lang w:bidi="fa-IR"/>
        </w:rPr>
        <w:t xml:space="preserve"> [</w:t>
      </w:r>
      <w:r w:rsidR="00434971">
        <w:rPr>
          <w:rFonts w:cs="B Nazanin" w:hint="cs"/>
          <w:sz w:val="20"/>
          <w:szCs w:val="24"/>
          <w:rtl/>
          <w:lang w:bidi="fa-IR"/>
        </w:rPr>
        <w:t>7</w:t>
      </w:r>
      <w:r w:rsidR="001538A1">
        <w:rPr>
          <w:rFonts w:cs="B Nazanin" w:hint="cs"/>
          <w:sz w:val="20"/>
          <w:szCs w:val="24"/>
          <w:rtl/>
          <w:lang w:bidi="fa-IR"/>
        </w:rPr>
        <w:t>]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. </w:t>
      </w:r>
      <w:r w:rsidR="007C12F2" w:rsidRPr="001538A1">
        <w:rPr>
          <w:rFonts w:cs="B Nazanin" w:hint="cs"/>
          <w:sz w:val="20"/>
          <w:szCs w:val="24"/>
          <w:rtl/>
          <w:lang w:bidi="fa-IR"/>
        </w:rPr>
        <w:t xml:space="preserve">این رابطه باید تنها </w:t>
      </w:r>
      <w:r w:rsidR="007C12F2" w:rsidRPr="001538A1">
        <w:rPr>
          <w:rFonts w:cs="B Nazanin" w:hint="cs"/>
          <w:sz w:val="20"/>
          <w:szCs w:val="24"/>
          <w:rtl/>
          <w:lang w:bidi="fa-IR"/>
        </w:rPr>
        <w:t>بر %60 ابتدایی از کسر داروی رها شده اعمال گردد</w:t>
      </w:r>
      <w:r w:rsidR="00301489" w:rsidRPr="001538A1">
        <w:rPr>
          <w:rFonts w:cs="B Nazanin" w:hint="cs"/>
          <w:sz w:val="20"/>
          <w:szCs w:val="24"/>
          <w:rtl/>
          <w:lang w:bidi="fa-IR"/>
        </w:rPr>
        <w:t xml:space="preserve"> [</w:t>
      </w:r>
      <w:r w:rsidR="00434971">
        <w:rPr>
          <w:rFonts w:cs="B Nazanin" w:hint="cs"/>
          <w:sz w:val="20"/>
          <w:szCs w:val="24"/>
          <w:rtl/>
          <w:lang w:bidi="fa-IR"/>
        </w:rPr>
        <w:t>8</w:t>
      </w:r>
      <w:r w:rsidR="00301489" w:rsidRPr="001538A1">
        <w:rPr>
          <w:rFonts w:cs="B Nazanin" w:hint="cs"/>
          <w:sz w:val="20"/>
          <w:szCs w:val="24"/>
          <w:rtl/>
          <w:lang w:bidi="fa-IR"/>
        </w:rPr>
        <w:t>].</w:t>
      </w: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563"/>
        <w:gridCol w:w="4188"/>
      </w:tblGrid>
      <w:tr w:rsidR="007C12F2" w:rsidRPr="001538A1" w:rsidTr="007C12F2">
        <w:trPr>
          <w:jc w:val="center"/>
        </w:trPr>
        <w:tc>
          <w:tcPr>
            <w:tcW w:w="563" w:type="dxa"/>
            <w:vAlign w:val="center"/>
          </w:tcPr>
          <w:p w:rsidR="007C12F2" w:rsidRPr="001538A1" w:rsidRDefault="007C12F2" w:rsidP="007C12F2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1538A1">
              <w:rPr>
                <w:rFonts w:cs="B Nazanin" w:hint="cs"/>
                <w:sz w:val="20"/>
                <w:szCs w:val="20"/>
                <w:rtl/>
              </w:rPr>
              <w:t>(</w:t>
            </w:r>
            <w:r w:rsidRPr="001538A1">
              <w:rPr>
                <w:rFonts w:cs="B Nazanin" w:hint="cs"/>
                <w:sz w:val="20"/>
                <w:szCs w:val="20"/>
                <w:rtl/>
              </w:rPr>
              <w:t>2</w:t>
            </w:r>
            <w:r w:rsidRPr="001538A1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4188" w:type="dxa"/>
            <w:vAlign w:val="center"/>
          </w:tcPr>
          <w:p w:rsidR="007C12F2" w:rsidRPr="001538A1" w:rsidRDefault="00C45F10" w:rsidP="00564ED1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1538A1">
              <w:rPr>
                <w:rFonts w:cs="B Lotus"/>
                <w:position w:val="-30"/>
              </w:rPr>
              <w:object w:dxaOrig="1020" w:dyaOrig="700">
                <v:shape id="_x0000_i1026" type="#_x0000_t75" style="width:43pt;height:29.55pt" o:ole="">
                  <v:imagedata r:id="rId10" o:title=""/>
                </v:shape>
                <o:OLEObject Type="Embed" ProgID="Equation.3" ShapeID="_x0000_i1026" DrawAspect="Content" ObjectID="_1630529779" r:id="rId11"/>
              </w:object>
            </w:r>
          </w:p>
        </w:tc>
      </w:tr>
    </w:tbl>
    <w:p w:rsidR="007C12F2" w:rsidRPr="001538A1" w:rsidRDefault="007C12F2" w:rsidP="00434971">
      <w:pPr>
        <w:pStyle w:val="NormalText"/>
        <w:spacing w:line="240" w:lineRule="auto"/>
        <w:ind w:firstLine="0"/>
        <w:rPr>
          <w:rFonts w:cs="B Nazanin"/>
          <w:sz w:val="20"/>
          <w:szCs w:val="24"/>
          <w:rtl/>
          <w:lang w:bidi="fa-IR"/>
        </w:rPr>
      </w:pPr>
      <w:r w:rsidRPr="001538A1">
        <w:rPr>
          <w:rFonts w:cs="B Nazanin" w:hint="cs"/>
          <w:sz w:val="20"/>
          <w:szCs w:val="24"/>
          <w:rtl/>
          <w:lang w:bidi="fa-IR"/>
        </w:rPr>
        <w:t xml:space="preserve">برای ارزیابی میزان افت وزن نمونه‌ها، 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صفحات نانولیفی با ابعاد </w:t>
      </w:r>
      <w:r w:rsidRPr="001538A1">
        <w:rPr>
          <w:rFonts w:cs="B Nazanin" w:hint="cs"/>
          <w:sz w:val="20"/>
          <w:szCs w:val="24"/>
          <w:rtl/>
          <w:lang w:bidi="fa-IR"/>
        </w:rPr>
        <w:t>مشخص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تهیه شد و به مدت </w:t>
      </w:r>
      <w:r w:rsidRPr="001538A1">
        <w:rPr>
          <w:rFonts w:cs="B Nazanin"/>
          <w:sz w:val="20"/>
          <w:szCs w:val="24"/>
          <w:lang w:bidi="fa-IR"/>
        </w:rPr>
        <w:t>h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24 در دمای </w:t>
      </w:r>
      <w:r w:rsidRPr="001538A1">
        <w:rPr>
          <w:rFonts w:cs="B Nazanin"/>
          <w:sz w:val="20"/>
          <w:szCs w:val="24"/>
          <w:lang w:bidi="fa-IR"/>
        </w:rPr>
        <w:t>C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Pr="001538A1">
        <w:rPr>
          <w:rFonts w:cs="Cambria" w:hint="cs"/>
          <w:sz w:val="20"/>
          <w:szCs w:val="24"/>
          <w:rtl/>
          <w:lang w:bidi="fa-IR"/>
        </w:rPr>
        <w:t>°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37 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محلول </w:t>
      </w:r>
      <w:r w:rsidRPr="001538A1">
        <w:rPr>
          <w:rFonts w:cs="B Nazanin"/>
          <w:sz w:val="20"/>
          <w:szCs w:val="24"/>
          <w:lang w:bidi="fa-IR"/>
        </w:rPr>
        <w:t>PBS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یا </w:t>
      </w:r>
      <w:r w:rsidRPr="001538A1">
        <w:rPr>
          <w:rFonts w:cs="B Nazanin"/>
          <w:sz w:val="20"/>
          <w:szCs w:val="24"/>
          <w:lang w:bidi="fa-IR"/>
        </w:rPr>
        <w:t>NAS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غوطه‌ور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گردیدند. به 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منظور محاسبه میزان افت وزن </w:t>
      </w:r>
      <w:r w:rsidRPr="001538A1">
        <w:rPr>
          <w:rFonts w:cs="B Nazanin" w:hint="cs"/>
          <w:sz w:val="20"/>
          <w:szCs w:val="24"/>
          <w:rtl/>
          <w:lang w:bidi="fa-IR"/>
        </w:rPr>
        <w:t>نمونه‌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>ها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cs/>
          <w:lang w:bidi="fa-IR"/>
        </w:rPr>
        <w:t>،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مطابق </w:t>
      </w:r>
      <w:r w:rsidR="007E40B7" w:rsidRPr="001538A1">
        <w:rPr>
          <w:rFonts w:cs="B Nazanin" w:hint="cs"/>
          <w:sz w:val="20"/>
          <w:szCs w:val="24"/>
          <w:rtl/>
          <w:lang w:bidi="fa-IR"/>
        </w:rPr>
        <w:t>رابطه 3</w:t>
      </w:r>
      <w:r w:rsidRPr="001538A1">
        <w:rPr>
          <w:rFonts w:cs="B Nazanin" w:hint="cs"/>
          <w:sz w:val="20"/>
          <w:szCs w:val="24"/>
          <w:rtl/>
          <w:lang w:bidi="fa-IR"/>
        </w:rPr>
        <w:t>، جرم نمونه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>ها پیش از غوطه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ور سازی </w:t>
      </w:r>
      <w:r w:rsidRPr="001538A1">
        <w:rPr>
          <w:rFonts w:cs="B Nazanin"/>
          <w:sz w:val="20"/>
          <w:szCs w:val="24"/>
          <w:lang w:bidi="fa-IR"/>
        </w:rPr>
        <w:t>(W</w:t>
      </w:r>
      <w:r w:rsidRPr="001538A1">
        <w:rPr>
          <w:rFonts w:cs="B Nazanin"/>
          <w:sz w:val="20"/>
          <w:szCs w:val="24"/>
          <w:vertAlign w:val="subscript"/>
          <w:lang w:bidi="fa-IR"/>
        </w:rPr>
        <w:t>0</w:t>
      </w:r>
      <w:r w:rsidRPr="001538A1">
        <w:rPr>
          <w:rFonts w:cs="B Nazanin"/>
          <w:sz w:val="20"/>
          <w:szCs w:val="24"/>
          <w:lang w:bidi="fa-IR"/>
        </w:rPr>
        <w:t>)</w:t>
      </w:r>
      <w:r w:rsidRPr="001538A1">
        <w:rPr>
          <w:rFonts w:cs="B Nazanin" w:hint="cs"/>
          <w:sz w:val="20"/>
          <w:szCs w:val="24"/>
          <w:rtl/>
          <w:lang w:bidi="fa-IR"/>
        </w:rPr>
        <w:t>، پس از خشک کردن نمونه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ها با کاغذ صافی </w:t>
      </w:r>
      <w:r w:rsidRPr="001538A1">
        <w:rPr>
          <w:rFonts w:cs="B Nazanin"/>
          <w:sz w:val="20"/>
          <w:szCs w:val="24"/>
          <w:lang w:bidi="fa-IR"/>
        </w:rPr>
        <w:t>(W)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و پس از خشک شدن کامل آن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ها در آون تحت خلأ </w:t>
      </w:r>
      <w:r w:rsidRPr="001538A1">
        <w:rPr>
          <w:rFonts w:cs="B Nazanin"/>
          <w:sz w:val="20"/>
          <w:szCs w:val="24"/>
          <w:lang w:bidi="fa-IR"/>
        </w:rPr>
        <w:t>(W</w:t>
      </w:r>
      <w:r w:rsidRPr="001538A1">
        <w:rPr>
          <w:rFonts w:cs="B Nazanin"/>
          <w:sz w:val="20"/>
          <w:szCs w:val="24"/>
          <w:vertAlign w:val="subscript"/>
          <w:lang w:bidi="fa-IR"/>
        </w:rPr>
        <w:t>d</w:t>
      </w:r>
      <w:r w:rsidRPr="001538A1">
        <w:rPr>
          <w:rFonts w:cs="B Nazanin"/>
          <w:sz w:val="20"/>
          <w:szCs w:val="24"/>
          <w:lang w:bidi="fa-IR"/>
        </w:rPr>
        <w:t>)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مورد اندازه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>گیری قرار گرفت</w:t>
      </w:r>
      <w:r w:rsidR="001538A1">
        <w:rPr>
          <w:rFonts w:cs="B Nazanin" w:hint="cs"/>
          <w:sz w:val="20"/>
          <w:szCs w:val="24"/>
          <w:rtl/>
          <w:lang w:bidi="fa-IR"/>
        </w:rPr>
        <w:t xml:space="preserve"> [</w:t>
      </w:r>
      <w:r w:rsidR="00434971">
        <w:rPr>
          <w:rFonts w:cs="B Nazanin" w:hint="cs"/>
          <w:sz w:val="20"/>
          <w:szCs w:val="24"/>
          <w:rtl/>
          <w:lang w:bidi="fa-IR"/>
        </w:rPr>
        <w:t>9</w:t>
      </w:r>
      <w:r w:rsidR="001538A1">
        <w:rPr>
          <w:rFonts w:cs="B Nazanin" w:hint="cs"/>
          <w:sz w:val="20"/>
          <w:szCs w:val="24"/>
          <w:rtl/>
          <w:lang w:bidi="fa-IR"/>
        </w:rPr>
        <w:t>]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. این آزمایش برای 3 نمونه از هر یک از نانوالیاف </w:t>
      </w:r>
      <w:r w:rsidRPr="001538A1">
        <w:rPr>
          <w:rFonts w:cs="B Nazanin" w:hint="cs"/>
          <w:sz w:val="20"/>
          <w:szCs w:val="24"/>
          <w:rtl/>
          <w:lang w:bidi="fa-IR"/>
        </w:rPr>
        <w:t>فاقد و حاوی دارو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تکرار شد.</w:t>
      </w: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563"/>
        <w:gridCol w:w="4188"/>
      </w:tblGrid>
      <w:tr w:rsidR="007C12F2" w:rsidRPr="001538A1" w:rsidTr="007C12F2">
        <w:trPr>
          <w:jc w:val="center"/>
        </w:trPr>
        <w:tc>
          <w:tcPr>
            <w:tcW w:w="563" w:type="dxa"/>
            <w:vAlign w:val="center"/>
          </w:tcPr>
          <w:p w:rsidR="007C12F2" w:rsidRPr="001538A1" w:rsidRDefault="007C12F2" w:rsidP="007C12F2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1538A1">
              <w:rPr>
                <w:rFonts w:cs="B Nazanin" w:hint="cs"/>
                <w:sz w:val="20"/>
                <w:szCs w:val="20"/>
                <w:rtl/>
              </w:rPr>
              <w:t>(</w:t>
            </w:r>
            <w:r w:rsidRPr="001538A1">
              <w:rPr>
                <w:rFonts w:cs="B Nazanin" w:hint="cs"/>
                <w:sz w:val="20"/>
                <w:szCs w:val="20"/>
                <w:rtl/>
              </w:rPr>
              <w:t>3</w:t>
            </w:r>
            <w:r w:rsidRPr="001538A1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4188" w:type="dxa"/>
            <w:vAlign w:val="center"/>
          </w:tcPr>
          <w:p w:rsidR="007C12F2" w:rsidRPr="001538A1" w:rsidRDefault="00C45F10" w:rsidP="00564ED1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1538A1">
              <w:rPr>
                <w:rFonts w:cs="B Lotus"/>
                <w:position w:val="-36"/>
              </w:rPr>
              <w:object w:dxaOrig="3180" w:dyaOrig="820">
                <v:shape id="_x0000_i1027" type="#_x0000_t75" style="width:127.9pt;height:35.45pt" o:ole="">
                  <v:imagedata r:id="rId12" o:title=""/>
                </v:shape>
                <o:OLEObject Type="Embed" ProgID="Equation.3" ShapeID="_x0000_i1027" DrawAspect="Content" ObjectID="_1630529780" r:id="rId13"/>
              </w:object>
            </w:r>
          </w:p>
        </w:tc>
      </w:tr>
    </w:tbl>
    <w:p w:rsidR="007C12F2" w:rsidRDefault="007C12F2" w:rsidP="007C12F2">
      <w:pPr>
        <w:pStyle w:val="NormalText"/>
        <w:spacing w:line="240" w:lineRule="auto"/>
        <w:ind w:firstLine="0"/>
        <w:rPr>
          <w:rFonts w:cs="B Nazanin"/>
          <w:sz w:val="20"/>
          <w:szCs w:val="24"/>
          <w:rtl/>
          <w:lang w:bidi="fa-IR"/>
        </w:rPr>
      </w:pPr>
      <w:r w:rsidRPr="001538A1">
        <w:rPr>
          <w:rFonts w:cs="B Nazanin" w:hint="cs"/>
          <w:sz w:val="20"/>
          <w:szCs w:val="24"/>
          <w:rtl/>
          <w:lang w:bidi="fa-IR"/>
        </w:rPr>
        <w:t>در این پژوهش، تجزیه و تحلیل آماری نتایج بدست آمده با استفاده از روش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های تحلیل واریانس یک طرفه </w:t>
      </w:r>
      <w:r w:rsidRPr="001538A1">
        <w:rPr>
          <w:rFonts w:cs="B Nazanin"/>
          <w:sz w:val="20"/>
          <w:szCs w:val="24"/>
          <w:lang w:bidi="fa-IR"/>
        </w:rPr>
        <w:t>ANOVA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در ترکیب با آزمون توکی جهت مقایسه چندگانه نمونه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>ها در سطح اطمینان % 95 و به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>کمک نرم</w:t>
      </w:r>
      <w:r w:rsidRPr="001538A1">
        <w:rPr>
          <w:rFonts w:cs="B Nazanin" w:hint="cs"/>
          <w:sz w:val="20"/>
          <w:szCs w:val="24"/>
          <w:cs/>
          <w:lang w:bidi="fa-IR"/>
        </w:rPr>
        <w:t>‎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افزار </w:t>
      </w:r>
      <w:r w:rsidRPr="001538A1">
        <w:rPr>
          <w:rFonts w:cs="B Nazanin"/>
          <w:sz w:val="20"/>
          <w:szCs w:val="24"/>
          <w:lang w:bidi="fa-IR"/>
        </w:rPr>
        <w:t>S-PLUS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انجام گردید.</w:t>
      </w:r>
    </w:p>
    <w:p w:rsidR="001538A1" w:rsidRPr="001538A1" w:rsidRDefault="001538A1" w:rsidP="007C12F2">
      <w:pPr>
        <w:pStyle w:val="NormalText"/>
        <w:spacing w:line="240" w:lineRule="auto"/>
        <w:ind w:firstLine="0"/>
        <w:rPr>
          <w:rFonts w:cs="B Nazanin" w:hint="cs"/>
          <w:sz w:val="20"/>
          <w:szCs w:val="24"/>
          <w:rtl/>
          <w:lang w:bidi="fa-IR"/>
        </w:rPr>
      </w:pPr>
    </w:p>
    <w:p w:rsidR="00DB5CD5" w:rsidRPr="001538A1" w:rsidRDefault="00BA09D6" w:rsidP="00DB5CD5">
      <w:pPr>
        <w:jc w:val="lowKashida"/>
        <w:rPr>
          <w:rFonts w:cs="B Nazanin"/>
          <w:b/>
          <w:bCs/>
          <w:rtl/>
        </w:rPr>
      </w:pPr>
      <w:r w:rsidRPr="001538A1">
        <w:rPr>
          <w:rFonts w:cs="B Nazanin" w:hint="cs"/>
          <w:b/>
          <w:bCs/>
          <w:rtl/>
        </w:rPr>
        <w:t xml:space="preserve">3- </w:t>
      </w:r>
      <w:r w:rsidR="00DB5CD5" w:rsidRPr="001538A1">
        <w:rPr>
          <w:rFonts w:cs="B Nazanin" w:hint="cs"/>
          <w:b/>
          <w:bCs/>
          <w:rtl/>
        </w:rPr>
        <w:t>نتايج و بحث</w:t>
      </w:r>
    </w:p>
    <w:p w:rsidR="00A02040" w:rsidRPr="001538A1" w:rsidRDefault="00A02040" w:rsidP="00A02040">
      <w:pPr>
        <w:jc w:val="lowKashida"/>
        <w:rPr>
          <w:rFonts w:cs="B Nazanin"/>
          <w:sz w:val="20"/>
          <w:rtl/>
        </w:rPr>
      </w:pPr>
      <w:r w:rsidRPr="001538A1">
        <w:rPr>
          <w:rFonts w:cs="B Nazanin" w:hint="cs"/>
          <w:sz w:val="20"/>
          <w:rtl/>
        </w:rPr>
        <w:lastRenderedPageBreak/>
        <w:t xml:space="preserve">همانطور که </w:t>
      </w:r>
      <w:r w:rsidRPr="001538A1">
        <w:rPr>
          <w:rFonts w:cs="B Nazanin" w:hint="cs"/>
          <w:sz w:val="20"/>
          <w:rtl/>
        </w:rPr>
        <w:t>شکل 1 نشان می‌دهد</w:t>
      </w:r>
      <w:r w:rsidRPr="001538A1">
        <w:rPr>
          <w:rFonts w:cs="B Nazanin" w:hint="cs"/>
          <w:sz w:val="20"/>
          <w:rtl/>
        </w:rPr>
        <w:t xml:space="preserve">، نانوالیاف تولیدی یکنواخت و فاقد هرگونه بید و عیب و دارای آرایش لیفی تصادفی می‌باشند. همچنین بدلیل عدم تجمع توده‌ای دارو بر سطح الیاف حاوی دارو، می‌توان انتظار داشت که </w:t>
      </w:r>
      <w:r w:rsidRPr="001538A1">
        <w:rPr>
          <w:rFonts w:cs="B Nazanin"/>
          <w:sz w:val="20"/>
        </w:rPr>
        <w:t>RA</w:t>
      </w:r>
      <w:r w:rsidRPr="001538A1">
        <w:rPr>
          <w:rFonts w:cs="B Nazanin" w:hint="cs"/>
          <w:sz w:val="20"/>
          <w:rtl/>
        </w:rPr>
        <w:t xml:space="preserve"> درون الیاف بارگذاری شده است. میانگین قطر نانوالیاف </w:t>
      </w:r>
      <w:r w:rsidRPr="001538A1">
        <w:rPr>
          <w:rFonts w:cs="B Nazanin"/>
          <w:sz w:val="20"/>
        </w:rPr>
        <w:t>CA</w:t>
      </w:r>
      <w:r w:rsidRPr="001538A1">
        <w:rPr>
          <w:rFonts w:cs="B Nazanin" w:hint="cs"/>
          <w:sz w:val="20"/>
          <w:rtl/>
        </w:rPr>
        <w:t>در</w:t>
      </w:r>
      <w:r w:rsidRPr="001538A1">
        <w:rPr>
          <w:rFonts w:cs="B Nazanin" w:hint="cs"/>
          <w:sz w:val="20"/>
          <w:rtl/>
        </w:rPr>
        <w:t xml:space="preserve"> جدول </w:t>
      </w:r>
      <w:r w:rsidRPr="001538A1">
        <w:rPr>
          <w:rFonts w:cs="B Nazanin" w:hint="cs"/>
          <w:sz w:val="20"/>
          <w:rtl/>
        </w:rPr>
        <w:t>1</w:t>
      </w:r>
      <w:r w:rsidRPr="001538A1">
        <w:rPr>
          <w:rFonts w:cs="B Nazanin" w:hint="cs"/>
          <w:sz w:val="20"/>
          <w:rtl/>
        </w:rPr>
        <w:t>گزارش شده است</w:t>
      </w:r>
      <w:r w:rsidRPr="001538A1">
        <w:rPr>
          <w:rFonts w:cs="B Nazanin" w:hint="cs"/>
          <w:sz w:val="20"/>
          <w:rtl/>
        </w:rPr>
        <w:t>.</w:t>
      </w:r>
    </w:p>
    <w:p w:rsidR="00D23D71" w:rsidRPr="001538A1" w:rsidRDefault="00D23D71" w:rsidP="00A02040">
      <w:pPr>
        <w:jc w:val="lowKashida"/>
        <w:rPr>
          <w:rFonts w:cs="B Nazanin"/>
          <w:sz w:val="20"/>
          <w:rtl/>
        </w:rPr>
      </w:pPr>
    </w:p>
    <w:p w:rsidR="007E40B7" w:rsidRPr="001538A1" w:rsidRDefault="007E40B7" w:rsidP="00481799">
      <w:pPr>
        <w:jc w:val="center"/>
        <w:rPr>
          <w:rFonts w:cs="B Nazanin"/>
          <w:rtl/>
        </w:rPr>
      </w:pPr>
      <w:r w:rsidRPr="001538A1">
        <w:rPr>
          <w:rFonts w:cs="B Nazanin" w:hint="cs"/>
          <w:noProof/>
          <w:rtl/>
          <w:lang w:bidi="ar-SA"/>
        </w:rPr>
        <w:drawing>
          <wp:inline distT="0" distB="0" distL="0" distR="0">
            <wp:extent cx="4380614" cy="1632901"/>
            <wp:effectExtent l="0" t="0" r="127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6300" cy="1638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799" w:rsidRPr="001538A1" w:rsidRDefault="00481799" w:rsidP="00481799">
      <w:pPr>
        <w:jc w:val="center"/>
        <w:rPr>
          <w:rFonts w:cs="B Nazanin" w:hint="cs"/>
          <w:sz w:val="20"/>
          <w:szCs w:val="20"/>
          <w:rtl/>
        </w:rPr>
      </w:pPr>
      <w:r w:rsidRPr="001538A1">
        <w:rPr>
          <w:rFonts w:cs="B Nazanin" w:hint="cs"/>
          <w:sz w:val="20"/>
          <w:szCs w:val="20"/>
          <w:rtl/>
        </w:rPr>
        <w:t xml:space="preserve">شکل 1. </w:t>
      </w:r>
      <w:r w:rsidRPr="001538A1">
        <w:rPr>
          <w:rFonts w:cs="B Nazanin" w:hint="cs"/>
          <w:sz w:val="20"/>
          <w:szCs w:val="20"/>
          <w:rtl/>
        </w:rPr>
        <w:t>تصاویر میکروسکوپ الکترونی نانوالیاف</w:t>
      </w:r>
      <w:r w:rsidRPr="001538A1">
        <w:rPr>
          <w:rFonts w:cs="B Nazanin" w:hint="cs"/>
          <w:sz w:val="20"/>
          <w:szCs w:val="20"/>
          <w:rtl/>
        </w:rPr>
        <w:t>.</w:t>
      </w:r>
    </w:p>
    <w:p w:rsidR="00D23D71" w:rsidRPr="001538A1" w:rsidRDefault="00D23D71" w:rsidP="00481C6C">
      <w:pPr>
        <w:pStyle w:val="NormalText"/>
        <w:spacing w:line="240" w:lineRule="auto"/>
        <w:ind w:firstLine="0"/>
        <w:contextualSpacing/>
        <w:rPr>
          <w:rFonts w:cs="B Nazanin"/>
          <w:sz w:val="20"/>
          <w:szCs w:val="24"/>
          <w:rtl/>
          <w:lang w:bidi="fa-IR"/>
        </w:rPr>
      </w:pPr>
    </w:p>
    <w:p w:rsidR="00481799" w:rsidRPr="001538A1" w:rsidRDefault="00481799" w:rsidP="00481C6C">
      <w:pPr>
        <w:pStyle w:val="NormalText"/>
        <w:spacing w:line="240" w:lineRule="auto"/>
        <w:ind w:firstLine="0"/>
        <w:contextualSpacing/>
        <w:rPr>
          <w:rFonts w:cs="B Nazanin"/>
          <w:sz w:val="20"/>
          <w:szCs w:val="24"/>
          <w:rtl/>
          <w:lang w:bidi="fa-IR"/>
        </w:rPr>
      </w:pPr>
      <w:r w:rsidRPr="001538A1">
        <w:rPr>
          <w:rFonts w:cs="B Nazanin" w:hint="cs"/>
          <w:sz w:val="20"/>
          <w:szCs w:val="24"/>
          <w:rtl/>
          <w:lang w:bidi="fa-IR"/>
        </w:rPr>
        <w:t xml:space="preserve">میزان بهره‌وری بارگذاری </w:t>
      </w:r>
      <w:r w:rsidRPr="001538A1">
        <w:rPr>
          <w:rFonts w:cs="B Nazanin"/>
          <w:sz w:val="20"/>
          <w:szCs w:val="24"/>
          <w:lang w:bidi="fa-IR"/>
        </w:rPr>
        <w:t>RA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در نانوالیاف در جدول 1 ارائه شده است و پروفایل رهایش </w:t>
      </w:r>
      <w:r w:rsidRPr="001538A1">
        <w:rPr>
          <w:rFonts w:cs="B Nazanin"/>
          <w:sz w:val="20"/>
          <w:szCs w:val="24"/>
          <w:lang w:bidi="fa-IR"/>
        </w:rPr>
        <w:t>RA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از نانوالیاف </w:t>
      </w:r>
      <w:r w:rsidRPr="001538A1">
        <w:rPr>
          <w:rFonts w:cs="B Nazanin"/>
          <w:sz w:val="20"/>
          <w:szCs w:val="24"/>
          <w:lang w:bidi="fa-IR"/>
        </w:rPr>
        <w:t>CA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بر حسب زمان در شکل </w:t>
      </w:r>
      <w:r w:rsidR="001E276E" w:rsidRPr="001538A1">
        <w:rPr>
          <w:rFonts w:cs="B Nazanin" w:hint="cs"/>
          <w:sz w:val="20"/>
          <w:szCs w:val="24"/>
          <w:rtl/>
          <w:lang w:bidi="fa-IR"/>
        </w:rPr>
        <w:t>2 (الف)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نشان داده شده است. رهایش انفجاری اولیه پس از یک ساعت در محلول‌های بافر </w:t>
      </w:r>
      <w:r w:rsidRPr="001538A1">
        <w:rPr>
          <w:rFonts w:cs="B Nazanin"/>
          <w:sz w:val="20"/>
          <w:szCs w:val="24"/>
          <w:lang w:bidi="fa-IR"/>
        </w:rPr>
        <w:t>PBS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و </w:t>
      </w:r>
      <w:r w:rsidRPr="001538A1">
        <w:rPr>
          <w:rFonts w:cs="B Nazanin"/>
          <w:sz w:val="20"/>
          <w:szCs w:val="24"/>
          <w:lang w:bidi="fa-IR"/>
        </w:rPr>
        <w:t>NAS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به‌ترتیب 11% و %15 بدست آمد که این مقدار اندک بدلیل بدلیل عدم تجمع توده‌ای دارو بر روی سطح الیاف و در مقابل، پراکندگی و توزیع همگن دارو در الیاف است.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پس از گذشت </w:t>
      </w:r>
      <w:r w:rsidR="00481C6C" w:rsidRPr="001538A1">
        <w:rPr>
          <w:rFonts w:cs="B Nazanin"/>
          <w:sz w:val="20"/>
          <w:szCs w:val="24"/>
          <w:lang w:bidi="fa-IR"/>
        </w:rPr>
        <w:t>h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 64، درصد تجمعی داروی رهایش یافته از از نانوالیاف در محلول‌های بافر </w:t>
      </w:r>
      <w:r w:rsidR="00481C6C" w:rsidRPr="001538A1">
        <w:rPr>
          <w:rFonts w:cs="B Nazanin"/>
          <w:sz w:val="20"/>
          <w:szCs w:val="24"/>
          <w:lang w:bidi="fa-IR"/>
        </w:rPr>
        <w:t>PBS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 و </w:t>
      </w:r>
      <w:r w:rsidR="00481C6C" w:rsidRPr="001538A1">
        <w:rPr>
          <w:rFonts w:cs="B Nazanin"/>
          <w:sz w:val="20"/>
          <w:szCs w:val="24"/>
          <w:lang w:bidi="fa-IR"/>
        </w:rPr>
        <w:t>NAS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 به‌ترتیب % 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>2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="00481C6C" w:rsidRPr="001538A1">
        <w:rPr>
          <w:rFonts w:cs="Cambria" w:hint="cs"/>
          <w:sz w:val="20"/>
          <w:szCs w:val="24"/>
          <w:rtl/>
          <w:lang w:bidi="fa-IR"/>
        </w:rPr>
        <w:t>±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>53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 و % 1 </w:t>
      </w:r>
      <w:r w:rsidR="00481C6C" w:rsidRPr="001538A1">
        <w:rPr>
          <w:rFonts w:cs="Cambria" w:hint="cs"/>
          <w:sz w:val="20"/>
          <w:szCs w:val="24"/>
          <w:rtl/>
          <w:lang w:bidi="fa-IR"/>
        </w:rPr>
        <w:t>±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>80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 xml:space="preserve"> می‌باشد</w:t>
      </w:r>
      <w:r w:rsidR="00481C6C" w:rsidRPr="001538A1">
        <w:rPr>
          <w:rFonts w:cs="B Nazanin" w:hint="cs"/>
          <w:sz w:val="20"/>
          <w:szCs w:val="24"/>
          <w:rtl/>
          <w:lang w:bidi="fa-IR"/>
        </w:rPr>
        <w:t>.</w:t>
      </w:r>
    </w:p>
    <w:p w:rsidR="00D23D71" w:rsidRPr="001538A1" w:rsidRDefault="00D23D71" w:rsidP="00481C6C">
      <w:pPr>
        <w:pStyle w:val="NormalText"/>
        <w:spacing w:line="240" w:lineRule="auto"/>
        <w:ind w:firstLine="0"/>
        <w:contextualSpacing/>
        <w:rPr>
          <w:rFonts w:cs="B Nazanin"/>
          <w:sz w:val="20"/>
          <w:szCs w:val="24"/>
          <w:rtl/>
          <w:lang w:bidi="fa-IR"/>
        </w:rPr>
      </w:pPr>
    </w:p>
    <w:p w:rsidR="00481799" w:rsidRPr="001538A1" w:rsidRDefault="00481799" w:rsidP="00481799">
      <w:pPr>
        <w:contextualSpacing/>
        <w:jc w:val="center"/>
        <w:rPr>
          <w:rFonts w:cs="B Zar"/>
          <w:b/>
          <w:bCs/>
          <w:sz w:val="16"/>
          <w:szCs w:val="20"/>
          <w:rtl/>
        </w:rPr>
      </w:pPr>
      <w:r w:rsidRPr="001538A1">
        <w:rPr>
          <w:rFonts w:cs="B Nazanin" w:hint="cs"/>
          <w:sz w:val="20"/>
          <w:szCs w:val="20"/>
          <w:rtl/>
        </w:rPr>
        <w:t xml:space="preserve">جدول 1. قطر نانوالیاف، میزان بهره‌وری بارگذاری دارو، پارامترهای پپاس و مکانیسم‌های رهایش.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44"/>
        <w:gridCol w:w="858"/>
        <w:gridCol w:w="903"/>
        <w:gridCol w:w="864"/>
        <w:gridCol w:w="877"/>
        <w:gridCol w:w="864"/>
        <w:gridCol w:w="877"/>
        <w:gridCol w:w="864"/>
        <w:gridCol w:w="877"/>
        <w:gridCol w:w="761"/>
        <w:gridCol w:w="761"/>
      </w:tblGrid>
      <w:tr w:rsidR="00481799" w:rsidRPr="001538A1" w:rsidTr="00564ED1">
        <w:tc>
          <w:tcPr>
            <w:tcW w:w="844" w:type="dxa"/>
            <w:vMerge w:val="restart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نمونه</w:t>
            </w:r>
          </w:p>
        </w:tc>
        <w:tc>
          <w:tcPr>
            <w:tcW w:w="858" w:type="dxa"/>
            <w:vMerge w:val="restart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قطر الیاف (</w:t>
            </w:r>
            <w:r w:rsidRPr="001538A1">
              <w:rPr>
                <w:rFonts w:cs="B Nazanin"/>
                <w:sz w:val="18"/>
                <w:szCs w:val="22"/>
                <w:lang w:bidi="fa-IR"/>
              </w:rPr>
              <w:t>nm</w:t>
            </w: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)</w:t>
            </w:r>
          </w:p>
        </w:tc>
        <w:tc>
          <w:tcPr>
            <w:tcW w:w="903" w:type="dxa"/>
            <w:vMerge w:val="restart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میزان بهره‌وری بارگذاری دارو (%)</w:t>
            </w:r>
          </w:p>
        </w:tc>
        <w:tc>
          <w:tcPr>
            <w:tcW w:w="5223" w:type="dxa"/>
            <w:gridSpan w:val="6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پارامترهای پپاس</w:t>
            </w:r>
          </w:p>
        </w:tc>
        <w:tc>
          <w:tcPr>
            <w:tcW w:w="1522" w:type="dxa"/>
            <w:gridSpan w:val="2"/>
            <w:vMerge w:val="restart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مکانیسم رهایش</w:t>
            </w:r>
          </w:p>
        </w:tc>
      </w:tr>
      <w:tr w:rsidR="00481799" w:rsidRPr="001538A1" w:rsidTr="00564ED1">
        <w:tc>
          <w:tcPr>
            <w:tcW w:w="844" w:type="dxa"/>
            <w:vMerge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</w:p>
        </w:tc>
        <w:tc>
          <w:tcPr>
            <w:tcW w:w="858" w:type="dxa"/>
            <w:vMerge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</w:p>
        </w:tc>
        <w:tc>
          <w:tcPr>
            <w:tcW w:w="903" w:type="dxa"/>
            <w:vMerge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</w:p>
        </w:tc>
        <w:tc>
          <w:tcPr>
            <w:tcW w:w="1741" w:type="dxa"/>
            <w:gridSpan w:val="2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K</w:t>
            </w:r>
          </w:p>
        </w:tc>
        <w:tc>
          <w:tcPr>
            <w:tcW w:w="1741" w:type="dxa"/>
            <w:gridSpan w:val="2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n</w:t>
            </w:r>
          </w:p>
        </w:tc>
        <w:tc>
          <w:tcPr>
            <w:tcW w:w="1741" w:type="dxa"/>
            <w:gridSpan w:val="2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R</w:t>
            </w:r>
            <w:r w:rsidRPr="001538A1">
              <w:rPr>
                <w:rFonts w:cs="B Nazanin"/>
                <w:sz w:val="18"/>
                <w:szCs w:val="22"/>
                <w:vertAlign w:val="superscript"/>
                <w:lang w:bidi="fa-IR"/>
              </w:rPr>
              <w:t>2</w:t>
            </w:r>
          </w:p>
        </w:tc>
        <w:tc>
          <w:tcPr>
            <w:tcW w:w="1522" w:type="dxa"/>
            <w:gridSpan w:val="2"/>
            <w:vMerge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</w:p>
        </w:tc>
      </w:tr>
      <w:tr w:rsidR="00481799" w:rsidRPr="001538A1" w:rsidTr="00564ED1">
        <w:tc>
          <w:tcPr>
            <w:tcW w:w="844" w:type="dxa"/>
            <w:vMerge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</w:p>
        </w:tc>
        <w:tc>
          <w:tcPr>
            <w:tcW w:w="858" w:type="dxa"/>
            <w:vMerge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</w:p>
        </w:tc>
        <w:tc>
          <w:tcPr>
            <w:tcW w:w="903" w:type="dxa"/>
            <w:vMerge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</w:p>
        </w:tc>
        <w:tc>
          <w:tcPr>
            <w:tcW w:w="864" w:type="dxa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PBS</w:t>
            </w:r>
          </w:p>
        </w:tc>
        <w:tc>
          <w:tcPr>
            <w:tcW w:w="877" w:type="dxa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NAS</w:t>
            </w:r>
          </w:p>
        </w:tc>
        <w:tc>
          <w:tcPr>
            <w:tcW w:w="864" w:type="dxa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PBS</w:t>
            </w:r>
          </w:p>
        </w:tc>
        <w:tc>
          <w:tcPr>
            <w:tcW w:w="877" w:type="dxa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NAS</w:t>
            </w:r>
          </w:p>
        </w:tc>
        <w:tc>
          <w:tcPr>
            <w:tcW w:w="864" w:type="dxa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PBS</w:t>
            </w:r>
          </w:p>
        </w:tc>
        <w:tc>
          <w:tcPr>
            <w:tcW w:w="877" w:type="dxa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NAS</w:t>
            </w:r>
          </w:p>
        </w:tc>
        <w:tc>
          <w:tcPr>
            <w:tcW w:w="761" w:type="dxa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PBS</w:t>
            </w:r>
          </w:p>
        </w:tc>
        <w:tc>
          <w:tcPr>
            <w:tcW w:w="761" w:type="dxa"/>
            <w:shd w:val="clear" w:color="auto" w:fill="E7E6E6" w:themeFill="background2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NAS</w:t>
            </w:r>
          </w:p>
        </w:tc>
      </w:tr>
      <w:tr w:rsidR="00481799" w:rsidRPr="001538A1" w:rsidTr="00564ED1">
        <w:tc>
          <w:tcPr>
            <w:tcW w:w="844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CA</w:t>
            </w:r>
          </w:p>
        </w:tc>
        <w:tc>
          <w:tcPr>
            <w:tcW w:w="858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69</w:t>
            </w:r>
            <w:r w:rsidRPr="001538A1">
              <w:rPr>
                <w:rFonts w:cs="Cambria" w:hint="cs"/>
                <w:sz w:val="18"/>
                <w:szCs w:val="22"/>
                <w:rtl/>
                <w:lang w:bidi="fa-IR"/>
              </w:rPr>
              <w:t>±</w:t>
            </w: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326</w:t>
            </w:r>
          </w:p>
        </w:tc>
        <w:tc>
          <w:tcPr>
            <w:tcW w:w="903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-</w:t>
            </w:r>
          </w:p>
        </w:tc>
        <w:tc>
          <w:tcPr>
            <w:tcW w:w="864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-</w:t>
            </w:r>
          </w:p>
        </w:tc>
        <w:tc>
          <w:tcPr>
            <w:tcW w:w="877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-</w:t>
            </w:r>
          </w:p>
        </w:tc>
        <w:tc>
          <w:tcPr>
            <w:tcW w:w="864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-</w:t>
            </w:r>
          </w:p>
        </w:tc>
        <w:tc>
          <w:tcPr>
            <w:tcW w:w="877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-</w:t>
            </w:r>
          </w:p>
        </w:tc>
        <w:tc>
          <w:tcPr>
            <w:tcW w:w="864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-</w:t>
            </w:r>
          </w:p>
        </w:tc>
        <w:tc>
          <w:tcPr>
            <w:tcW w:w="877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-</w:t>
            </w:r>
          </w:p>
        </w:tc>
        <w:tc>
          <w:tcPr>
            <w:tcW w:w="761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-</w:t>
            </w:r>
          </w:p>
        </w:tc>
        <w:tc>
          <w:tcPr>
            <w:tcW w:w="761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-</w:t>
            </w:r>
          </w:p>
        </w:tc>
      </w:tr>
      <w:tr w:rsidR="00481799" w:rsidRPr="001538A1" w:rsidTr="00564ED1">
        <w:tc>
          <w:tcPr>
            <w:tcW w:w="844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/>
                <w:sz w:val="18"/>
                <w:szCs w:val="22"/>
                <w:lang w:bidi="fa-IR"/>
              </w:rPr>
              <w:t>CA/RA</w:t>
            </w:r>
          </w:p>
        </w:tc>
        <w:tc>
          <w:tcPr>
            <w:tcW w:w="858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95</w:t>
            </w:r>
            <w:r w:rsidRPr="001538A1">
              <w:rPr>
                <w:rFonts w:cs="Cambria" w:hint="cs"/>
                <w:sz w:val="18"/>
                <w:szCs w:val="22"/>
                <w:rtl/>
                <w:lang w:bidi="fa-IR"/>
              </w:rPr>
              <w:t>±</w:t>
            </w: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314</w:t>
            </w:r>
          </w:p>
        </w:tc>
        <w:tc>
          <w:tcPr>
            <w:tcW w:w="903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12</w:t>
            </w:r>
            <w:r w:rsidRPr="001538A1">
              <w:rPr>
                <w:rFonts w:cs="Cambria" w:hint="cs"/>
                <w:sz w:val="18"/>
                <w:szCs w:val="22"/>
                <w:rtl/>
                <w:lang w:bidi="fa-IR"/>
              </w:rPr>
              <w:t>±</w:t>
            </w: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89</w:t>
            </w:r>
          </w:p>
        </w:tc>
        <w:tc>
          <w:tcPr>
            <w:tcW w:w="864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13</w:t>
            </w:r>
          </w:p>
        </w:tc>
        <w:tc>
          <w:tcPr>
            <w:tcW w:w="877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15</w:t>
            </w:r>
          </w:p>
        </w:tc>
        <w:tc>
          <w:tcPr>
            <w:tcW w:w="864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37/0</w:t>
            </w:r>
          </w:p>
        </w:tc>
        <w:tc>
          <w:tcPr>
            <w:tcW w:w="877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44/0</w:t>
            </w:r>
          </w:p>
        </w:tc>
        <w:tc>
          <w:tcPr>
            <w:tcW w:w="864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997/0</w:t>
            </w:r>
          </w:p>
        </w:tc>
        <w:tc>
          <w:tcPr>
            <w:tcW w:w="877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999/0</w:t>
            </w:r>
          </w:p>
        </w:tc>
        <w:tc>
          <w:tcPr>
            <w:tcW w:w="761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نفوذ فیک</w:t>
            </w:r>
          </w:p>
        </w:tc>
        <w:tc>
          <w:tcPr>
            <w:tcW w:w="761" w:type="dxa"/>
            <w:vAlign w:val="center"/>
          </w:tcPr>
          <w:p w:rsidR="00481799" w:rsidRPr="001538A1" w:rsidRDefault="00481799" w:rsidP="00564ED1">
            <w:pPr>
              <w:pStyle w:val="NormalText"/>
              <w:spacing w:line="240" w:lineRule="auto"/>
              <w:ind w:firstLine="0"/>
              <w:jc w:val="center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1538A1">
              <w:rPr>
                <w:rFonts w:cs="B Nazanin" w:hint="cs"/>
                <w:sz w:val="18"/>
                <w:szCs w:val="22"/>
                <w:rtl/>
                <w:lang w:bidi="fa-IR"/>
              </w:rPr>
              <w:t>نفوذ فیک</w:t>
            </w:r>
          </w:p>
        </w:tc>
      </w:tr>
    </w:tbl>
    <w:p w:rsidR="00481799" w:rsidRPr="001538A1" w:rsidRDefault="00481799" w:rsidP="00481799">
      <w:pPr>
        <w:pStyle w:val="NormalText"/>
        <w:spacing w:line="240" w:lineRule="auto"/>
        <w:ind w:firstLine="0"/>
        <w:contextualSpacing/>
        <w:jc w:val="center"/>
        <w:rPr>
          <w:rFonts w:cs="B Nazanin"/>
          <w:szCs w:val="24"/>
          <w:rtl/>
          <w:lang w:bidi="fa-IR"/>
        </w:rPr>
      </w:pPr>
    </w:p>
    <w:p w:rsidR="00481799" w:rsidRPr="001538A1" w:rsidRDefault="00481799" w:rsidP="00B37F01">
      <w:pPr>
        <w:pStyle w:val="NormalText"/>
        <w:spacing w:line="240" w:lineRule="auto"/>
        <w:ind w:firstLine="0"/>
        <w:jc w:val="both"/>
        <w:rPr>
          <w:rFonts w:cs="B Nazanin"/>
          <w:sz w:val="20"/>
          <w:szCs w:val="24"/>
          <w:rtl/>
          <w:lang w:bidi="fa-IR"/>
        </w:rPr>
      </w:pPr>
      <w:r w:rsidRPr="001538A1">
        <w:rPr>
          <w:rFonts w:cs="B Nazanin" w:hint="cs"/>
          <w:sz w:val="20"/>
          <w:szCs w:val="24"/>
          <w:rtl/>
          <w:lang w:bidi="fa-IR"/>
        </w:rPr>
        <w:t xml:space="preserve">پارامترهای سیتیک رهایش محاسبه شده در جدول 1 ارائه شده‌اند. مقادیر بزرگ ضریب همبستگی، قابل قبول بودن مدل ریتگر- پپاس برای تشریح مکانیسم رهایش </w:t>
      </w:r>
      <w:r w:rsidRPr="001538A1">
        <w:rPr>
          <w:rFonts w:cs="B Nazanin"/>
          <w:sz w:val="20"/>
          <w:szCs w:val="24"/>
          <w:lang w:bidi="fa-IR"/>
        </w:rPr>
        <w:t>RA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از نانوالیاف را تأیید می‌نماید. مقادیر 45/0 </w:t>
      </w:r>
      <w:r w:rsidRPr="001538A1">
        <w:rPr>
          <w:rFonts w:cs="Times New Roman" w:hint="cs"/>
          <w:sz w:val="20"/>
          <w:szCs w:val="24"/>
          <w:rtl/>
          <w:lang w:bidi="fa-IR"/>
        </w:rPr>
        <w:t>≥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</w:t>
      </w:r>
      <w:r w:rsidRPr="001538A1">
        <w:rPr>
          <w:rFonts w:cs="B Nazanin"/>
          <w:sz w:val="20"/>
          <w:szCs w:val="24"/>
          <w:lang w:bidi="fa-IR"/>
        </w:rPr>
        <w:t>n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بدست آمده بیانگر آنست که رهایش </w:t>
      </w:r>
      <w:r w:rsidRPr="001538A1">
        <w:rPr>
          <w:rFonts w:cs="B Nazanin"/>
          <w:sz w:val="20"/>
          <w:szCs w:val="24"/>
          <w:lang w:bidi="fa-IR"/>
        </w:rPr>
        <w:t>RA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از نانوالیاف </w:t>
      </w:r>
      <w:r w:rsidRPr="001538A1">
        <w:rPr>
          <w:rFonts w:cs="B Nazanin"/>
          <w:sz w:val="20"/>
          <w:szCs w:val="24"/>
          <w:lang w:bidi="fa-IR"/>
        </w:rPr>
        <w:t>CA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، </w:t>
      </w:r>
      <w:r w:rsidR="00B37F01">
        <w:rPr>
          <w:rFonts w:cs="B Nazanin" w:hint="cs"/>
          <w:sz w:val="20"/>
          <w:szCs w:val="24"/>
          <w:rtl/>
          <w:lang w:bidi="fa-IR"/>
        </w:rPr>
        <w:t xml:space="preserve">از 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مکانیسم نفوذ فیک </w:t>
      </w:r>
      <w:r w:rsidR="00B37F01">
        <w:rPr>
          <w:rFonts w:cs="B Nazanin" w:hint="cs"/>
          <w:sz w:val="20"/>
          <w:szCs w:val="24"/>
          <w:rtl/>
          <w:lang w:bidi="fa-IR"/>
        </w:rPr>
        <w:t>پیروی می‌کند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. مقادیر بزرگ‌تر </w:t>
      </w:r>
      <w:r w:rsidRPr="001538A1">
        <w:rPr>
          <w:rFonts w:cs="B Nazanin"/>
          <w:sz w:val="20"/>
          <w:szCs w:val="24"/>
          <w:lang w:bidi="fa-IR"/>
        </w:rPr>
        <w:t>K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در محلول </w:t>
      </w:r>
      <w:r w:rsidRPr="001538A1">
        <w:rPr>
          <w:rFonts w:cs="B Nazanin"/>
          <w:sz w:val="20"/>
          <w:szCs w:val="24"/>
          <w:lang w:bidi="fa-IR"/>
        </w:rPr>
        <w:t>NAS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بیانگر سرعت رهایش بالاتر در این محلول است. برای بررسی دلیل این امر، مقادیر افت وزن نمونه‌ها در هر دو محلول بافر اندازه‌گیری شد که در شکل </w:t>
      </w:r>
      <w:r w:rsidR="001E276E" w:rsidRPr="001538A1">
        <w:rPr>
          <w:rFonts w:cs="B Nazanin" w:hint="cs"/>
          <w:sz w:val="20"/>
          <w:szCs w:val="24"/>
          <w:rtl/>
          <w:lang w:bidi="fa-IR"/>
        </w:rPr>
        <w:t xml:space="preserve">2 (ب) 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نشان داده است. همانطور که مشاهده می‌شود نمونه‌ها در محلول </w:t>
      </w:r>
      <w:r w:rsidRPr="001538A1">
        <w:rPr>
          <w:rFonts w:cs="B Nazanin"/>
          <w:sz w:val="20"/>
          <w:szCs w:val="24"/>
          <w:lang w:bidi="fa-IR"/>
        </w:rPr>
        <w:t>PBS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افت وزن کمتری دا</w:t>
      </w:r>
      <w:r w:rsidR="00B37F01">
        <w:rPr>
          <w:rFonts w:cs="B Nazanin" w:hint="cs"/>
          <w:sz w:val="20"/>
          <w:szCs w:val="24"/>
          <w:rtl/>
          <w:lang w:bidi="fa-IR"/>
        </w:rPr>
        <w:t>رند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. افت وزن کمتر نمونه‌ها در محلول </w:t>
      </w:r>
      <w:r w:rsidRPr="001538A1">
        <w:rPr>
          <w:rFonts w:cs="B Nazanin"/>
          <w:sz w:val="20"/>
          <w:szCs w:val="24"/>
          <w:lang w:bidi="fa-IR"/>
        </w:rPr>
        <w:t>PBS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 که ناشی از سرعت تخریب کمتر نمونه‌ها در این محلول می‌باشد را می‌توان به عنوان مکانیسم کنترل‌کننده سرعت رهایش در نظر گرفت</w:t>
      </w:r>
      <w:r w:rsidR="00B37F01">
        <w:rPr>
          <w:rFonts w:cs="B Nazanin" w:hint="cs"/>
          <w:sz w:val="20"/>
          <w:szCs w:val="24"/>
          <w:rtl/>
          <w:lang w:bidi="fa-IR"/>
        </w:rPr>
        <w:t xml:space="preserve"> [10]</w:t>
      </w:r>
      <w:r w:rsidRPr="001538A1">
        <w:rPr>
          <w:rFonts w:cs="B Nazanin" w:hint="cs"/>
          <w:sz w:val="20"/>
          <w:szCs w:val="24"/>
          <w:rtl/>
          <w:lang w:bidi="fa-IR"/>
        </w:rPr>
        <w:t xml:space="preserve">. </w:t>
      </w:r>
    </w:p>
    <w:p w:rsidR="001E276E" w:rsidRPr="001538A1" w:rsidRDefault="001E276E" w:rsidP="004911F5">
      <w:pPr>
        <w:jc w:val="lowKashida"/>
        <w:rPr>
          <w:rFonts w:cs="B Nazanin"/>
          <w:rtl/>
        </w:rPr>
      </w:pPr>
      <w:r w:rsidRPr="001538A1">
        <w:rPr>
          <w:rFonts w:cs="B Nazanin"/>
          <w:noProof/>
          <w:rtl/>
          <w:lang w:bidi="ar-SA"/>
        </w:rPr>
        <w:lastRenderedPageBreak/>
        <w:drawing>
          <wp:inline distT="0" distB="0" distL="0" distR="0">
            <wp:extent cx="5943600" cy="169989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gure 3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9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010" w:rsidRPr="001538A1" w:rsidRDefault="001E276E" w:rsidP="00995ABF">
      <w:pPr>
        <w:contextualSpacing/>
        <w:jc w:val="center"/>
        <w:rPr>
          <w:rFonts w:cs="B Zar"/>
          <w:b/>
          <w:bCs/>
          <w:sz w:val="16"/>
          <w:szCs w:val="20"/>
          <w:rtl/>
        </w:rPr>
      </w:pPr>
      <w:r w:rsidRPr="001538A1">
        <w:rPr>
          <w:rFonts w:cs="B Nazanin" w:hint="cs"/>
          <w:sz w:val="20"/>
          <w:szCs w:val="20"/>
          <w:rtl/>
        </w:rPr>
        <w:t xml:space="preserve">شکل </w:t>
      </w:r>
      <w:r w:rsidRPr="001538A1">
        <w:rPr>
          <w:rFonts w:cs="B Nazanin" w:hint="cs"/>
          <w:sz w:val="20"/>
          <w:szCs w:val="20"/>
          <w:rtl/>
        </w:rPr>
        <w:t>2</w:t>
      </w:r>
      <w:r w:rsidRPr="001538A1">
        <w:rPr>
          <w:rFonts w:cs="B Nazanin" w:hint="cs"/>
          <w:sz w:val="20"/>
          <w:szCs w:val="20"/>
          <w:rtl/>
        </w:rPr>
        <w:t xml:space="preserve">. </w:t>
      </w:r>
      <w:r w:rsidRPr="001538A1">
        <w:rPr>
          <w:rFonts w:cs="B Nazanin" w:hint="cs"/>
          <w:sz w:val="20"/>
          <w:szCs w:val="20"/>
          <w:rtl/>
        </w:rPr>
        <w:t>(الف) پروفیل رهایش دارو و (ب) افت وزن</w:t>
      </w:r>
      <w:r w:rsidR="00836010" w:rsidRPr="001538A1">
        <w:rPr>
          <w:rFonts w:cs="B Nazanin" w:hint="cs"/>
          <w:sz w:val="20"/>
          <w:szCs w:val="20"/>
          <w:rtl/>
        </w:rPr>
        <w:t xml:space="preserve"> </w:t>
      </w:r>
      <w:r w:rsidR="00836010" w:rsidRPr="001538A1">
        <w:rPr>
          <w:rFonts w:cs="B Nazanin" w:hint="cs"/>
          <w:sz w:val="20"/>
          <w:szCs w:val="20"/>
          <w:rtl/>
        </w:rPr>
        <w:t>(</w:t>
      </w:r>
      <w:r w:rsidR="00995ABF" w:rsidRPr="001538A1">
        <w:rPr>
          <w:rFonts w:cs="B Nazanin"/>
          <w:sz w:val="16"/>
          <w:szCs w:val="16"/>
        </w:rPr>
        <w:t>*</w:t>
      </w:r>
      <w:r w:rsidR="00836010" w:rsidRPr="001538A1">
        <w:rPr>
          <w:rFonts w:cs="B Nazanin" w:hint="cs"/>
          <w:sz w:val="20"/>
          <w:szCs w:val="20"/>
          <w:rtl/>
        </w:rPr>
        <w:t xml:space="preserve"> نشانگر اختلاف معنادار در 05/0</w:t>
      </w:r>
      <w:r w:rsidR="00836010" w:rsidRPr="001538A1">
        <w:rPr>
          <w:rFonts w:cs="B Nazanin"/>
          <w:sz w:val="16"/>
          <w:szCs w:val="16"/>
        </w:rPr>
        <w:t>P</w:t>
      </w:r>
      <w:r w:rsidR="00836010" w:rsidRPr="001538A1">
        <w:rPr>
          <w:rFonts w:cs="B Nazanin"/>
          <w:sz w:val="20"/>
          <w:szCs w:val="20"/>
        </w:rPr>
        <w:t>&lt;</w:t>
      </w:r>
      <w:r w:rsidR="00836010" w:rsidRPr="001538A1">
        <w:rPr>
          <w:rFonts w:cs="B Nazanin" w:hint="cs"/>
          <w:sz w:val="20"/>
          <w:szCs w:val="20"/>
          <w:rtl/>
        </w:rPr>
        <w:t>)</w:t>
      </w:r>
      <w:r w:rsidR="00836010" w:rsidRPr="001538A1">
        <w:rPr>
          <w:rFonts w:cs="B Nazanin" w:hint="cs"/>
          <w:sz w:val="20"/>
          <w:szCs w:val="20"/>
          <w:rtl/>
        </w:rPr>
        <w:t>.</w:t>
      </w:r>
    </w:p>
    <w:p w:rsidR="001E276E" w:rsidRPr="001538A1" w:rsidRDefault="001E276E" w:rsidP="004911F5">
      <w:pPr>
        <w:jc w:val="lowKashida"/>
        <w:rPr>
          <w:rFonts w:cs="B Nazanin"/>
          <w:rtl/>
        </w:rPr>
      </w:pPr>
    </w:p>
    <w:p w:rsidR="00DB5CD5" w:rsidRPr="001538A1" w:rsidRDefault="00BA09D6" w:rsidP="00DB5CD5">
      <w:pPr>
        <w:jc w:val="lowKashida"/>
        <w:rPr>
          <w:rFonts w:cs="B Nazanin"/>
          <w:b/>
          <w:bCs/>
          <w:rtl/>
        </w:rPr>
      </w:pPr>
      <w:r w:rsidRPr="001538A1">
        <w:rPr>
          <w:rFonts w:cs="B Nazanin" w:hint="cs"/>
          <w:b/>
          <w:bCs/>
          <w:rtl/>
        </w:rPr>
        <w:t xml:space="preserve">4- </w:t>
      </w:r>
      <w:r w:rsidR="00DB5CD5" w:rsidRPr="001538A1">
        <w:rPr>
          <w:rFonts w:cs="B Nazanin" w:hint="cs"/>
          <w:b/>
          <w:bCs/>
          <w:rtl/>
        </w:rPr>
        <w:t xml:space="preserve">نتيجه‌گيری </w:t>
      </w:r>
    </w:p>
    <w:p w:rsidR="00DB5CD5" w:rsidRPr="001538A1" w:rsidRDefault="007527F1" w:rsidP="00B37F01">
      <w:pPr>
        <w:jc w:val="lowKashida"/>
        <w:rPr>
          <w:rFonts w:cs="B Lotus"/>
          <w:sz w:val="20"/>
          <w:rtl/>
        </w:rPr>
      </w:pPr>
      <w:r w:rsidRPr="001538A1">
        <w:rPr>
          <w:rFonts w:cs="B Lotus" w:hint="cs"/>
          <w:sz w:val="20"/>
          <w:rtl/>
        </w:rPr>
        <w:t xml:space="preserve">رزمارینیک اسید، یک داروی ضد التهابی غیر استیروئیدی با منشأ گیاهی با استفاده از فرایند الکتروریسی در نانوالیاف سلولز استات بارگذاری شد و نانوالیاف با ساختاری یکنواخت تولید شدند. </w:t>
      </w:r>
      <w:r w:rsidRPr="001538A1">
        <w:rPr>
          <w:rFonts w:cs="B Lotus"/>
          <w:sz w:val="20"/>
        </w:rPr>
        <w:t>RA</w:t>
      </w:r>
      <w:r w:rsidRPr="001538A1">
        <w:rPr>
          <w:rFonts w:cs="B Lotus" w:hint="cs"/>
          <w:sz w:val="20"/>
          <w:rtl/>
        </w:rPr>
        <w:t xml:space="preserve"> در سطح مولکولی با ماتریکس پلیمری برهمکنش داشته و در حالت آمورف در بستر پلیمری توزیع گردید که سبب بهره‌وری بارگذاری بالا، رهایش انفجاری اولیه کم و رهایش پایدار </w:t>
      </w:r>
      <w:r w:rsidRPr="001538A1">
        <w:rPr>
          <w:rFonts w:cs="B Lotus"/>
          <w:sz w:val="20"/>
        </w:rPr>
        <w:t>RA</w:t>
      </w:r>
      <w:r w:rsidRPr="001538A1">
        <w:rPr>
          <w:rFonts w:cs="B Lotus" w:hint="cs"/>
          <w:sz w:val="20"/>
          <w:rtl/>
        </w:rPr>
        <w:t xml:space="preserve"> طی یک بازه زمانی </w:t>
      </w:r>
      <w:r w:rsidRPr="001538A1">
        <w:rPr>
          <w:rFonts w:cs="B Lotus"/>
          <w:sz w:val="20"/>
        </w:rPr>
        <w:t>h</w:t>
      </w:r>
      <w:r w:rsidRPr="001538A1">
        <w:rPr>
          <w:rFonts w:cs="B Lotus" w:hint="cs"/>
          <w:sz w:val="20"/>
          <w:rtl/>
        </w:rPr>
        <w:t xml:space="preserve"> 64 گردید.</w:t>
      </w:r>
      <w:r w:rsidRPr="001538A1">
        <w:rPr>
          <w:rFonts w:cs="B Lotus" w:hint="cs"/>
          <w:sz w:val="20"/>
          <w:rtl/>
        </w:rPr>
        <w:t xml:space="preserve"> </w:t>
      </w:r>
      <w:r w:rsidR="00AD74AE" w:rsidRPr="001538A1">
        <w:rPr>
          <w:rFonts w:cs="B Lotus" w:hint="cs"/>
          <w:sz w:val="20"/>
          <w:rtl/>
        </w:rPr>
        <w:t xml:space="preserve">همچنین، بدلیل انحلال بیشتر سلولز استات در محلول </w:t>
      </w:r>
      <w:r w:rsidR="00AD74AE" w:rsidRPr="001538A1">
        <w:rPr>
          <w:rFonts w:cs="B Lotus"/>
          <w:sz w:val="20"/>
        </w:rPr>
        <w:t>NAS</w:t>
      </w:r>
      <w:r w:rsidR="00AD74AE" w:rsidRPr="001538A1">
        <w:rPr>
          <w:rFonts w:cs="B Lotus" w:hint="cs"/>
          <w:sz w:val="20"/>
          <w:rtl/>
        </w:rPr>
        <w:t xml:space="preserve"> در مقایسه با </w:t>
      </w:r>
      <w:r w:rsidR="00AD74AE" w:rsidRPr="001538A1">
        <w:rPr>
          <w:rFonts w:cs="B Lotus"/>
          <w:sz w:val="20"/>
        </w:rPr>
        <w:t>PBS</w:t>
      </w:r>
      <w:r w:rsidR="00AD74AE" w:rsidRPr="001538A1">
        <w:rPr>
          <w:rFonts w:cs="B Lotus" w:hint="cs"/>
          <w:sz w:val="20"/>
          <w:rtl/>
        </w:rPr>
        <w:t xml:space="preserve">، رهایش </w:t>
      </w:r>
      <w:r w:rsidR="00AD74AE" w:rsidRPr="001538A1">
        <w:rPr>
          <w:rFonts w:cs="B Lotus"/>
          <w:sz w:val="20"/>
        </w:rPr>
        <w:t>RA</w:t>
      </w:r>
      <w:r w:rsidR="00AD74AE" w:rsidRPr="001538A1">
        <w:rPr>
          <w:rFonts w:cs="B Lotus" w:hint="cs"/>
          <w:sz w:val="20"/>
          <w:rtl/>
        </w:rPr>
        <w:t xml:space="preserve"> در این محلول بافر با سرعت بیشتری صورت گرفت</w:t>
      </w:r>
      <w:bookmarkStart w:id="0" w:name="_GoBack"/>
      <w:bookmarkEnd w:id="0"/>
      <w:r w:rsidR="00AD74AE" w:rsidRPr="001538A1">
        <w:rPr>
          <w:rFonts w:cs="B Lotus" w:hint="cs"/>
          <w:sz w:val="20"/>
          <w:rtl/>
        </w:rPr>
        <w:t>.</w:t>
      </w:r>
    </w:p>
    <w:p w:rsidR="001538A1" w:rsidRPr="001538A1" w:rsidRDefault="001538A1" w:rsidP="00AD74AE">
      <w:pPr>
        <w:jc w:val="lowKashida"/>
        <w:rPr>
          <w:rFonts w:cs="B Nazanin" w:hint="cs"/>
          <w:sz w:val="20"/>
          <w:szCs w:val="22"/>
          <w:rtl/>
        </w:rPr>
      </w:pPr>
    </w:p>
    <w:p w:rsidR="0013121C" w:rsidRPr="001538A1" w:rsidRDefault="0013121C" w:rsidP="0013121C">
      <w:pPr>
        <w:jc w:val="lowKashida"/>
        <w:rPr>
          <w:rFonts w:cs="B Nazanin"/>
          <w:b/>
          <w:bCs/>
          <w:sz w:val="22"/>
          <w:szCs w:val="22"/>
          <w:rtl/>
        </w:rPr>
      </w:pPr>
      <w:r w:rsidRPr="001538A1"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:rsidR="00434971" w:rsidRDefault="00434971" w:rsidP="00434971">
      <w:pPr>
        <w:pStyle w:val="EndNoteBibliography"/>
        <w:framePr w:hSpace="0" w:wrap="auto" w:vAnchor="margin" w:hAnchor="text" w:xAlign="left" w:yAlign="inline"/>
        <w:ind w:left="284" w:hanging="284"/>
        <w:jc w:val="both"/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</w:pPr>
      <w:r w:rsidRPr="0043497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[1] </w:t>
      </w:r>
      <w:r w:rsidRPr="0043497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Yu, D.-G., Williams, G. R., Wang, X., Yang, J.-H., Li, X.-Y., Qian, W., &amp; Li, Y. (2011). Polymer-based nanoparticulate solid dispersions prepared by a modified electrospraying process. </w:t>
      </w:r>
      <w:r w:rsidRPr="0043497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J</w:t>
      </w:r>
      <w:r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ournal of</w:t>
      </w:r>
      <w:r w:rsidRPr="0043497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Biomed</w:t>
      </w:r>
      <w:r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ical</w:t>
      </w:r>
      <w:r w:rsidRPr="0043497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Sci</w:t>
      </w:r>
      <w:r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ence and</w:t>
      </w:r>
      <w:r w:rsidRPr="0043497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Eng</w:t>
      </w:r>
      <w:r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ineering</w:t>
      </w:r>
      <w:r w:rsidRPr="0043497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</w:t>
      </w:r>
      <w:r w:rsidRPr="0043497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4, 741-749.</w:t>
      </w:r>
    </w:p>
    <w:p w:rsidR="00C45F10" w:rsidRPr="001538A1" w:rsidRDefault="009C6D3B" w:rsidP="00434971">
      <w:pPr>
        <w:pStyle w:val="EndNoteBibliography"/>
        <w:framePr w:hSpace="0" w:wrap="auto" w:vAnchor="margin" w:hAnchor="text" w:xAlign="left" w:yAlign="inline"/>
        <w:ind w:left="284" w:hanging="284"/>
        <w:jc w:val="both"/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</w:pP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[</w:t>
      </w:r>
      <w:r w:rsidR="0043497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2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]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Zamani, M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Prabhakaran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M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P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&amp;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Ramakrishna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S. 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(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2013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)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Advances in drug delivery via electrospun and electrosprayed nanomaterials. 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International Journal of Nanomedicine</w:t>
      </w:r>
      <w:r w:rsidR="00131323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8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2997-3017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</w:p>
    <w:p w:rsidR="00C45F10" w:rsidRPr="001538A1" w:rsidRDefault="009C6D3B" w:rsidP="00434971">
      <w:pPr>
        <w:pStyle w:val="EndNoteBibliography"/>
        <w:framePr w:hSpace="0" w:wrap="auto" w:vAnchor="margin" w:hAnchor="text" w:xAlign="left" w:yAlign="inline"/>
        <w:ind w:left="284" w:hanging="284"/>
        <w:jc w:val="both"/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</w:pP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[</w:t>
      </w:r>
      <w:r w:rsidR="0043497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3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]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da Silva, S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B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Amorim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M.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Fonte,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P.,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Madureira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R.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Ferreira,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D.,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Pintado,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M.,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&amp;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Sarmento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B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(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2015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)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 Natural extracts into chitosan nanocarriers for rosmarinic acid drug delivery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  <w:t xml:space="preserve">.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Pharmaceutical biology</w:t>
      </w:r>
      <w:r w:rsidR="00131323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53</w:t>
      </w:r>
      <w:r w:rsidR="00131323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642-652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  <w:t>.</w:t>
      </w:r>
    </w:p>
    <w:p w:rsidR="00C45F10" w:rsidRPr="001538A1" w:rsidRDefault="009C6D3B" w:rsidP="00434971">
      <w:pPr>
        <w:pStyle w:val="EndNoteBibliography"/>
        <w:framePr w:hSpace="0" w:wrap="auto" w:vAnchor="margin" w:hAnchor="text" w:xAlign="left" w:yAlign="inline"/>
        <w:ind w:left="284" w:hanging="284"/>
        <w:jc w:val="both"/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</w:pP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[</w:t>
      </w:r>
      <w:r w:rsidR="0043497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4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]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da Silva, S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B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Ferreira,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D.,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Pintado,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M., &amp;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Sarmento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B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(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2016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)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Chitosan-based nanoparticles for rosmarinic acid ocular delivery—In vitro tests. 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International journal of biological macromolecules</w:t>
      </w:r>
      <w:r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84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112-120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  <w:t>.</w:t>
      </w:r>
    </w:p>
    <w:p w:rsidR="00C45F10" w:rsidRPr="001538A1" w:rsidRDefault="009C6D3B" w:rsidP="00434971">
      <w:pPr>
        <w:pStyle w:val="EndNoteBibliography"/>
        <w:framePr w:hSpace="0" w:wrap="auto" w:vAnchor="margin" w:hAnchor="text" w:xAlign="left" w:yAlign="inline"/>
        <w:ind w:left="284" w:hanging="284"/>
        <w:jc w:val="both"/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</w:pP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[</w:t>
      </w:r>
      <w:r w:rsidR="0043497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5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]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Casanova, F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Estevinho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B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N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and Santos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L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(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2016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)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Preliminary studies of rosmarinic acid microencapsulation with chitosan and modified chitosan for topical delivery. 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Powder Technology</w:t>
      </w:r>
      <w:r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297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44-49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  <w:t>.</w:t>
      </w:r>
    </w:p>
    <w:p w:rsidR="00691879" w:rsidRPr="001538A1" w:rsidRDefault="009C6D3B" w:rsidP="00434971">
      <w:pPr>
        <w:bidi w:val="0"/>
        <w:ind w:left="284" w:hanging="284"/>
        <w:jc w:val="both"/>
        <w:rPr>
          <w:rFonts w:cstheme="majorBidi"/>
          <w:color w:val="000000" w:themeColor="text1"/>
          <w:sz w:val="20"/>
          <w:szCs w:val="20"/>
          <w:shd w:val="clear" w:color="auto" w:fill="FFFFFF"/>
        </w:rPr>
      </w:pPr>
      <w:r w:rsidRPr="001538A1">
        <w:rPr>
          <w:rFonts w:cstheme="majorBidi"/>
          <w:color w:val="000000" w:themeColor="text1"/>
          <w:sz w:val="20"/>
          <w:szCs w:val="20"/>
          <w:shd w:val="clear" w:color="auto" w:fill="FFFFFF"/>
        </w:rPr>
        <w:t>[</w:t>
      </w:r>
      <w:r w:rsidR="00434971">
        <w:rPr>
          <w:rFonts w:cstheme="majorBidi"/>
          <w:color w:val="000000" w:themeColor="text1"/>
          <w:sz w:val="20"/>
          <w:szCs w:val="20"/>
          <w:shd w:val="clear" w:color="auto" w:fill="FFFFFF"/>
        </w:rPr>
        <w:t>6</w:t>
      </w:r>
      <w:r w:rsidRPr="001538A1">
        <w:rPr>
          <w:rFonts w:cstheme="majorBidi"/>
          <w:color w:val="000000" w:themeColor="text1"/>
          <w:sz w:val="20"/>
          <w:szCs w:val="20"/>
          <w:shd w:val="clear" w:color="auto" w:fill="FFFFFF"/>
        </w:rPr>
        <w:t xml:space="preserve">] </w:t>
      </w:r>
      <w:r w:rsidR="00C45F10" w:rsidRPr="001538A1">
        <w:rPr>
          <w:rFonts w:cstheme="majorBidi"/>
          <w:color w:val="000000" w:themeColor="text1"/>
          <w:sz w:val="20"/>
          <w:szCs w:val="20"/>
          <w:shd w:val="clear" w:color="auto" w:fill="FFFFFF"/>
        </w:rPr>
        <w:t xml:space="preserve">Zhang, Y., Huo, M., Zhou, J., Zou, A., Li, W., Yao, C., &amp; Xie, S. (2010). DDSolver: an add-in program for modeling and comparison of drug dissolution profiles. </w:t>
      </w:r>
      <w:r w:rsidR="00434971" w:rsidRPr="00434971">
        <w:rPr>
          <w:rFonts w:cstheme="majorBidi"/>
          <w:i/>
          <w:iCs/>
          <w:color w:val="000000" w:themeColor="text1"/>
          <w:sz w:val="20"/>
          <w:szCs w:val="20"/>
          <w:shd w:val="clear" w:color="auto" w:fill="FFFFFF"/>
        </w:rPr>
        <w:t xml:space="preserve">The </w:t>
      </w:r>
      <w:r w:rsidR="00C45F10" w:rsidRPr="00434971">
        <w:rPr>
          <w:rFonts w:cstheme="majorBidi"/>
          <w:i/>
          <w:iCs/>
          <w:color w:val="000000" w:themeColor="text1"/>
          <w:sz w:val="20"/>
          <w:szCs w:val="20"/>
          <w:shd w:val="clear" w:color="auto" w:fill="FFFFFF"/>
        </w:rPr>
        <w:t>AAPS J</w:t>
      </w:r>
      <w:r w:rsidR="00434971" w:rsidRPr="00434971">
        <w:rPr>
          <w:rFonts w:cstheme="majorBidi"/>
          <w:i/>
          <w:iCs/>
          <w:color w:val="000000" w:themeColor="text1"/>
          <w:sz w:val="20"/>
          <w:szCs w:val="20"/>
          <w:shd w:val="clear" w:color="auto" w:fill="FFFFFF"/>
        </w:rPr>
        <w:t>ournal</w:t>
      </w:r>
      <w:r w:rsidR="00C45F10" w:rsidRPr="00434971">
        <w:rPr>
          <w:rFonts w:cstheme="majorBidi"/>
          <w:i/>
          <w:iCs/>
          <w:color w:val="000000" w:themeColor="text1"/>
          <w:sz w:val="20"/>
          <w:szCs w:val="20"/>
          <w:shd w:val="clear" w:color="auto" w:fill="FFFFFF"/>
        </w:rPr>
        <w:t>, 12</w:t>
      </w:r>
      <w:r w:rsidR="00C45F10" w:rsidRPr="001538A1">
        <w:rPr>
          <w:rFonts w:cstheme="majorBidi"/>
          <w:color w:val="000000" w:themeColor="text1"/>
          <w:sz w:val="20"/>
          <w:szCs w:val="20"/>
          <w:shd w:val="clear" w:color="auto" w:fill="FFFFFF"/>
        </w:rPr>
        <w:t>, 263-271.</w:t>
      </w:r>
    </w:p>
    <w:p w:rsidR="00C45F10" w:rsidRPr="001538A1" w:rsidRDefault="009C6D3B" w:rsidP="00434971">
      <w:pPr>
        <w:pStyle w:val="EndNoteBibliography"/>
        <w:framePr w:hSpace="0" w:wrap="auto" w:vAnchor="margin" w:hAnchor="text" w:xAlign="left" w:yAlign="inline"/>
        <w:ind w:left="284" w:hanging="284"/>
        <w:jc w:val="both"/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</w:pP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[</w:t>
      </w:r>
      <w:r w:rsidR="0043497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7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]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Serra, L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Doménech,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J.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&amp;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Peppas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N. A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(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2006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)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Drug transport mechanisms and release kinetics from molecularly designed poly (acrylic acid-g-ethylene glycol) hydrogels. 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Biomaterials</w:t>
      </w:r>
      <w:r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27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5440-5451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  <w:t>.</w:t>
      </w:r>
    </w:p>
    <w:p w:rsidR="00C45F10" w:rsidRPr="001538A1" w:rsidRDefault="009C6D3B" w:rsidP="00434971">
      <w:pPr>
        <w:pStyle w:val="EndNoteBibliography"/>
        <w:framePr w:hSpace="0" w:wrap="auto" w:vAnchor="margin" w:hAnchor="text" w:xAlign="left" w:yAlign="inline"/>
        <w:ind w:left="284" w:hanging="284"/>
        <w:jc w:val="both"/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</w:pP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[</w:t>
      </w:r>
      <w:r w:rsidR="0043497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8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]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Ritger, P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  <w:t xml:space="preserve"> 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L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.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,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&amp;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Peppas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 N. A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(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1987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)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. A simple equation for description of solute release I. Fickian and non-fickian release from non-swellable devices in the form of slabs, spheres, cylinders or discs. 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Journal of Controlled Release</w:t>
      </w:r>
      <w:r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</w:t>
      </w:r>
      <w:r w:rsidR="00C45F10" w:rsidRPr="001538A1">
        <w:rPr>
          <w:rFonts w:ascii="Times New Roman" w:hAnsi="Times New Roman" w:cstheme="majorBidi"/>
          <w:i/>
          <w:iCs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5</w:t>
      </w:r>
      <w:r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>,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lang w:bidi="fa-IR"/>
        </w:rPr>
        <w:t xml:space="preserve"> 23-36</w:t>
      </w:r>
      <w:r w:rsidR="00C45F10" w:rsidRPr="001538A1">
        <w:rPr>
          <w:rFonts w:ascii="Times New Roman" w:hAnsi="Times New Roman" w:cstheme="majorBidi"/>
          <w:noProof w:val="0"/>
          <w:color w:val="000000" w:themeColor="text1"/>
          <w:sz w:val="20"/>
          <w:szCs w:val="20"/>
          <w:shd w:val="clear" w:color="auto" w:fill="FFFFFF"/>
          <w:rtl/>
          <w:lang w:bidi="fa-IR"/>
        </w:rPr>
        <w:t>.</w:t>
      </w:r>
    </w:p>
    <w:p w:rsidR="00C45F10" w:rsidRDefault="001538A1" w:rsidP="00434971">
      <w:pPr>
        <w:pStyle w:val="EndNoteBibliography"/>
        <w:framePr w:hSpace="0" w:wrap="auto" w:vAnchor="margin" w:hAnchor="text" w:xAlign="left" w:yAlign="inline"/>
        <w:ind w:left="284" w:hanging="284"/>
        <w:jc w:val="both"/>
        <w:rPr>
          <w:rFonts w:ascii="Times New Roman" w:hAnsi="Times New Roman" w:cstheme="majorBidi"/>
          <w:sz w:val="20"/>
          <w:szCs w:val="20"/>
        </w:rPr>
      </w:pPr>
      <w:r w:rsidRPr="001538A1">
        <w:rPr>
          <w:rFonts w:ascii="Times New Roman" w:hAnsi="Times New Roman" w:cstheme="majorBidi"/>
          <w:sz w:val="20"/>
          <w:szCs w:val="20"/>
        </w:rPr>
        <w:t>[</w:t>
      </w:r>
      <w:r w:rsidR="00434971">
        <w:rPr>
          <w:rFonts w:ascii="Times New Roman" w:hAnsi="Times New Roman" w:cstheme="majorBidi"/>
          <w:sz w:val="20"/>
          <w:szCs w:val="20"/>
        </w:rPr>
        <w:t>9</w:t>
      </w:r>
      <w:r w:rsidRPr="001538A1">
        <w:rPr>
          <w:rFonts w:ascii="Times New Roman" w:hAnsi="Times New Roman" w:cstheme="majorBidi"/>
          <w:sz w:val="20"/>
          <w:szCs w:val="20"/>
        </w:rPr>
        <w:t xml:space="preserve">] </w:t>
      </w:r>
      <w:r w:rsidR="00C45F10" w:rsidRPr="001538A1">
        <w:rPr>
          <w:rFonts w:ascii="Times New Roman" w:hAnsi="Times New Roman" w:cstheme="majorBidi"/>
          <w:sz w:val="20"/>
          <w:szCs w:val="20"/>
        </w:rPr>
        <w:t xml:space="preserve">Vatankhah, E. </w:t>
      </w:r>
      <w:r w:rsidRPr="001538A1">
        <w:rPr>
          <w:rFonts w:ascii="Times New Roman" w:hAnsi="Times New Roman" w:cstheme="majorBidi"/>
          <w:sz w:val="20"/>
          <w:szCs w:val="20"/>
        </w:rPr>
        <w:t>(</w:t>
      </w:r>
      <w:r w:rsidR="00C45F10" w:rsidRPr="001538A1">
        <w:rPr>
          <w:rFonts w:ascii="Times New Roman" w:hAnsi="Times New Roman" w:cstheme="majorBidi"/>
          <w:sz w:val="20"/>
          <w:szCs w:val="20"/>
        </w:rPr>
        <w:t>2018</w:t>
      </w:r>
      <w:r w:rsidRPr="001538A1">
        <w:rPr>
          <w:rFonts w:ascii="Times New Roman" w:hAnsi="Times New Roman" w:cstheme="majorBidi"/>
          <w:sz w:val="20"/>
          <w:szCs w:val="20"/>
        </w:rPr>
        <w:t>)</w:t>
      </w:r>
      <w:r w:rsidR="00C45F10" w:rsidRPr="001538A1">
        <w:rPr>
          <w:rFonts w:ascii="Times New Roman" w:hAnsi="Times New Roman" w:cstheme="majorBidi"/>
          <w:sz w:val="20"/>
          <w:szCs w:val="20"/>
        </w:rPr>
        <w:t>. Rosmarinic acid</w:t>
      </w:r>
      <w:r w:rsidR="00C45F10" w:rsidRPr="001538A1">
        <w:rPr>
          <w:rFonts w:ascii="Cambria Math" w:hAnsi="Cambria Math" w:cs="Cambria Math"/>
          <w:sz w:val="20"/>
          <w:szCs w:val="20"/>
        </w:rPr>
        <w:t>‐</w:t>
      </w:r>
      <w:r w:rsidR="00C45F10" w:rsidRPr="001538A1">
        <w:rPr>
          <w:rFonts w:ascii="Times New Roman" w:hAnsi="Times New Roman" w:cstheme="majorBidi"/>
          <w:sz w:val="20"/>
          <w:szCs w:val="20"/>
        </w:rPr>
        <w:t xml:space="preserve">loaded electrospun nanofibers: In vitro release kinetic study and bioactivity assessment. </w:t>
      </w:r>
      <w:r w:rsidR="00C45F10" w:rsidRPr="001538A1">
        <w:rPr>
          <w:rFonts w:ascii="Times New Roman" w:hAnsi="Times New Roman" w:cstheme="majorBidi"/>
          <w:i/>
          <w:sz w:val="20"/>
          <w:szCs w:val="20"/>
        </w:rPr>
        <w:t>Engineering in Life Sciences</w:t>
      </w:r>
      <w:r w:rsidRPr="001538A1">
        <w:rPr>
          <w:rFonts w:ascii="Times New Roman" w:hAnsi="Times New Roman" w:cstheme="majorBidi"/>
          <w:i/>
          <w:sz w:val="20"/>
          <w:szCs w:val="20"/>
        </w:rPr>
        <w:t>,</w:t>
      </w:r>
      <w:r w:rsidR="00C45F10" w:rsidRPr="001538A1">
        <w:rPr>
          <w:rFonts w:ascii="Times New Roman" w:hAnsi="Times New Roman" w:cstheme="majorBidi"/>
          <w:sz w:val="20"/>
          <w:szCs w:val="20"/>
        </w:rPr>
        <w:t xml:space="preserve"> </w:t>
      </w:r>
      <w:r w:rsidR="00C45F10" w:rsidRPr="001538A1">
        <w:rPr>
          <w:rFonts w:ascii="Times New Roman" w:hAnsi="Times New Roman" w:cstheme="majorBidi"/>
          <w:i/>
          <w:iCs/>
          <w:sz w:val="20"/>
          <w:szCs w:val="20"/>
        </w:rPr>
        <w:t>18</w:t>
      </w:r>
      <w:r w:rsidRPr="001538A1">
        <w:rPr>
          <w:rFonts w:ascii="Times New Roman" w:hAnsi="Times New Roman" w:cstheme="majorBidi"/>
          <w:sz w:val="20"/>
          <w:szCs w:val="20"/>
        </w:rPr>
        <w:t xml:space="preserve">, </w:t>
      </w:r>
      <w:r w:rsidR="00C45F10" w:rsidRPr="001538A1">
        <w:rPr>
          <w:rFonts w:ascii="Times New Roman" w:hAnsi="Times New Roman" w:cstheme="majorBidi"/>
          <w:sz w:val="20"/>
          <w:szCs w:val="20"/>
        </w:rPr>
        <w:t>732-742</w:t>
      </w:r>
      <w:r w:rsidR="00C45F10" w:rsidRPr="001538A1">
        <w:rPr>
          <w:rFonts w:ascii="Times New Roman" w:hAnsi="Times New Roman" w:cstheme="majorBidi"/>
          <w:sz w:val="20"/>
          <w:szCs w:val="20"/>
          <w:rtl/>
        </w:rPr>
        <w:t>.</w:t>
      </w:r>
    </w:p>
    <w:p w:rsidR="00B37F01" w:rsidRPr="00B37F01" w:rsidRDefault="00B37F01" w:rsidP="00B37F01">
      <w:pPr>
        <w:pStyle w:val="EndNoteBibliography"/>
        <w:framePr w:hSpace="0" w:wrap="auto" w:vAnchor="margin" w:hAnchor="text" w:xAlign="left" w:yAlign="inline"/>
        <w:ind w:left="720" w:hanging="720"/>
        <w:jc w:val="both"/>
        <w:rPr>
          <w:rFonts w:asciiTheme="majorBidi" w:hAnsiTheme="majorBidi" w:cstheme="majorBidi"/>
          <w:sz w:val="20"/>
          <w:szCs w:val="20"/>
          <w:rtl/>
        </w:rPr>
      </w:pPr>
      <w:r w:rsidRPr="00B37F01">
        <w:rPr>
          <w:rFonts w:ascii="Times New Roman" w:hAnsi="Times New Roman"/>
          <w:sz w:val="20"/>
          <w:szCs w:val="20"/>
        </w:rPr>
        <w:t xml:space="preserve">[10] </w:t>
      </w:r>
      <w:r w:rsidRPr="00B37F01">
        <w:rPr>
          <w:rFonts w:asciiTheme="majorBidi" w:hAnsiTheme="majorBidi" w:cstheme="majorBidi"/>
          <w:sz w:val="20"/>
          <w:szCs w:val="20"/>
        </w:rPr>
        <w:t>Fredenberg, S</w:t>
      </w:r>
      <w:r w:rsidRPr="00B37F01">
        <w:rPr>
          <w:rFonts w:asciiTheme="majorBidi" w:hAnsiTheme="majorBidi" w:cstheme="majorBidi"/>
          <w:sz w:val="20"/>
          <w:szCs w:val="20"/>
        </w:rPr>
        <w:t>.</w:t>
      </w:r>
      <w:r w:rsidRPr="00B37F01">
        <w:rPr>
          <w:rFonts w:asciiTheme="majorBidi" w:hAnsiTheme="majorBidi" w:cstheme="majorBidi"/>
          <w:sz w:val="20"/>
          <w:szCs w:val="20"/>
        </w:rPr>
        <w:t>, Wahlgren</w:t>
      </w:r>
      <w:r w:rsidRPr="00B37F01">
        <w:rPr>
          <w:rFonts w:asciiTheme="majorBidi" w:hAnsiTheme="majorBidi" w:cstheme="majorBidi"/>
          <w:sz w:val="20"/>
          <w:szCs w:val="20"/>
        </w:rPr>
        <w:t>, M.</w:t>
      </w:r>
      <w:r w:rsidRPr="00B37F01">
        <w:rPr>
          <w:rFonts w:asciiTheme="majorBidi" w:hAnsiTheme="majorBidi" w:cstheme="majorBidi"/>
          <w:sz w:val="20"/>
          <w:szCs w:val="20"/>
        </w:rPr>
        <w:t>, Reslow,</w:t>
      </w:r>
      <w:r w:rsidRPr="00B37F01">
        <w:rPr>
          <w:rFonts w:asciiTheme="majorBidi" w:hAnsiTheme="majorBidi" w:cstheme="majorBidi"/>
          <w:sz w:val="20"/>
          <w:szCs w:val="20"/>
        </w:rPr>
        <w:t xml:space="preserve"> M. &amp;</w:t>
      </w:r>
      <w:r w:rsidRPr="00B37F01">
        <w:rPr>
          <w:rFonts w:asciiTheme="majorBidi" w:hAnsiTheme="majorBidi" w:cstheme="majorBidi"/>
          <w:sz w:val="20"/>
          <w:szCs w:val="20"/>
        </w:rPr>
        <w:t xml:space="preserve"> Axelsson</w:t>
      </w:r>
      <w:r w:rsidRPr="00B37F01">
        <w:rPr>
          <w:rFonts w:asciiTheme="majorBidi" w:hAnsiTheme="majorBidi" w:cstheme="majorBidi"/>
          <w:sz w:val="20"/>
          <w:szCs w:val="20"/>
        </w:rPr>
        <w:t>, A</w:t>
      </w:r>
      <w:r w:rsidRPr="00B37F01">
        <w:rPr>
          <w:rFonts w:asciiTheme="majorBidi" w:hAnsiTheme="majorBidi" w:cstheme="majorBidi"/>
          <w:sz w:val="20"/>
          <w:szCs w:val="20"/>
        </w:rPr>
        <w:t xml:space="preserve">. </w:t>
      </w:r>
      <w:r w:rsidRPr="00B37F01">
        <w:rPr>
          <w:rFonts w:asciiTheme="majorBidi" w:hAnsiTheme="majorBidi" w:cstheme="majorBidi"/>
          <w:sz w:val="20"/>
          <w:szCs w:val="20"/>
        </w:rPr>
        <w:t>(</w:t>
      </w:r>
      <w:r w:rsidRPr="00B37F01">
        <w:rPr>
          <w:rFonts w:asciiTheme="majorBidi" w:hAnsiTheme="majorBidi" w:cstheme="majorBidi"/>
          <w:sz w:val="20"/>
          <w:szCs w:val="20"/>
        </w:rPr>
        <w:t>2011</w:t>
      </w:r>
      <w:r w:rsidRPr="00B37F01">
        <w:rPr>
          <w:rFonts w:asciiTheme="majorBidi" w:hAnsiTheme="majorBidi" w:cstheme="majorBidi"/>
          <w:sz w:val="20"/>
          <w:szCs w:val="20"/>
        </w:rPr>
        <w:t>)</w:t>
      </w:r>
      <w:r w:rsidRPr="00B37F01">
        <w:rPr>
          <w:rFonts w:asciiTheme="majorBidi" w:hAnsiTheme="majorBidi" w:cstheme="majorBidi"/>
          <w:sz w:val="20"/>
          <w:szCs w:val="20"/>
        </w:rPr>
        <w:t xml:space="preserve">. The mechanisms of drug release in poly (lactic-co-glycolic acid)-based drug delivery systems—a review. </w:t>
      </w:r>
      <w:r w:rsidRPr="00B37F01">
        <w:rPr>
          <w:rFonts w:asciiTheme="majorBidi" w:hAnsiTheme="majorBidi" w:cstheme="majorBidi"/>
          <w:i/>
          <w:sz w:val="20"/>
          <w:szCs w:val="20"/>
        </w:rPr>
        <w:t>International Journal of Pharmaceutics</w:t>
      </w:r>
      <w:r>
        <w:rPr>
          <w:rFonts w:asciiTheme="majorBidi" w:hAnsiTheme="majorBidi" w:cstheme="majorBidi"/>
          <w:i/>
          <w:sz w:val="20"/>
          <w:szCs w:val="20"/>
        </w:rPr>
        <w:t>,</w:t>
      </w:r>
      <w:r w:rsidRPr="00B37F01">
        <w:rPr>
          <w:rFonts w:asciiTheme="majorBidi" w:hAnsiTheme="majorBidi" w:cstheme="majorBidi"/>
          <w:sz w:val="20"/>
          <w:szCs w:val="20"/>
        </w:rPr>
        <w:t xml:space="preserve"> </w:t>
      </w:r>
      <w:r w:rsidRPr="00B37F01">
        <w:rPr>
          <w:rFonts w:asciiTheme="majorBidi" w:hAnsiTheme="majorBidi" w:cstheme="majorBidi"/>
          <w:i/>
          <w:iCs/>
          <w:sz w:val="20"/>
          <w:szCs w:val="20"/>
        </w:rPr>
        <w:t>415</w:t>
      </w:r>
      <w:r>
        <w:rPr>
          <w:rFonts w:asciiTheme="majorBidi" w:hAnsiTheme="majorBidi" w:cstheme="majorBidi"/>
          <w:sz w:val="20"/>
          <w:szCs w:val="20"/>
        </w:rPr>
        <w:t xml:space="preserve">, </w:t>
      </w:r>
      <w:r w:rsidRPr="00B37F01">
        <w:rPr>
          <w:rFonts w:asciiTheme="majorBidi" w:hAnsiTheme="majorBidi" w:cstheme="majorBidi"/>
          <w:sz w:val="20"/>
          <w:szCs w:val="20"/>
        </w:rPr>
        <w:t>34-52</w:t>
      </w:r>
      <w:r w:rsidRPr="00B37F01">
        <w:rPr>
          <w:rFonts w:asciiTheme="majorBidi" w:hAnsiTheme="majorBidi" w:cstheme="majorBidi"/>
          <w:sz w:val="20"/>
          <w:szCs w:val="20"/>
          <w:rtl/>
        </w:rPr>
        <w:t>.</w:t>
      </w:r>
    </w:p>
    <w:p w:rsidR="00B37F01" w:rsidRPr="001538A1" w:rsidRDefault="00B37F01" w:rsidP="00B37F01">
      <w:pPr>
        <w:pStyle w:val="EndNoteBibliography"/>
        <w:framePr w:hSpace="0" w:wrap="auto" w:vAnchor="margin" w:hAnchor="text" w:xAlign="left" w:yAlign="inline"/>
        <w:ind w:left="284" w:hanging="284"/>
        <w:jc w:val="both"/>
        <w:rPr>
          <w:rFonts w:ascii="Times New Roman" w:hAnsi="Times New Roman"/>
          <w:sz w:val="20"/>
          <w:szCs w:val="20"/>
        </w:rPr>
      </w:pPr>
    </w:p>
    <w:sectPr w:rsidR="00B37F01" w:rsidRPr="001538A1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CF3" w:rsidRDefault="00C55CF3" w:rsidP="001D68EC">
      <w:r>
        <w:separator/>
      </w:r>
    </w:p>
  </w:endnote>
  <w:endnote w:type="continuationSeparator" w:id="0">
    <w:p w:rsidR="00C55CF3" w:rsidRDefault="00C55CF3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F01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CF3" w:rsidRDefault="00C55CF3" w:rsidP="004911F5">
      <w:pPr>
        <w:bidi w:val="0"/>
      </w:pPr>
      <w:r>
        <w:separator/>
      </w:r>
    </w:p>
  </w:footnote>
  <w:footnote w:type="continuationSeparator" w:id="0">
    <w:p w:rsidR="00C55CF3" w:rsidRDefault="00C55CF3" w:rsidP="001D6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703B04F8" wp14:editId="233AA3C5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1BA971D8" wp14:editId="4E81249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B1658A" wp14:editId="23910905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line w14:anchorId="23AE70CA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717BC"/>
    <w:rsid w:val="00074B36"/>
    <w:rsid w:val="000778B4"/>
    <w:rsid w:val="000D1D67"/>
    <w:rsid w:val="00102CE0"/>
    <w:rsid w:val="00117C5E"/>
    <w:rsid w:val="00126C55"/>
    <w:rsid w:val="0013121C"/>
    <w:rsid w:val="00131323"/>
    <w:rsid w:val="001538A1"/>
    <w:rsid w:val="0015391C"/>
    <w:rsid w:val="0016392D"/>
    <w:rsid w:val="001666E2"/>
    <w:rsid w:val="001D68EC"/>
    <w:rsid w:val="001E276E"/>
    <w:rsid w:val="00215F77"/>
    <w:rsid w:val="002337F5"/>
    <w:rsid w:val="00262427"/>
    <w:rsid w:val="002A578F"/>
    <w:rsid w:val="00301489"/>
    <w:rsid w:val="00396893"/>
    <w:rsid w:val="003C12E5"/>
    <w:rsid w:val="003D28B6"/>
    <w:rsid w:val="003F2BD8"/>
    <w:rsid w:val="00400FFC"/>
    <w:rsid w:val="00406595"/>
    <w:rsid w:val="00434971"/>
    <w:rsid w:val="00436C5F"/>
    <w:rsid w:val="004466D3"/>
    <w:rsid w:val="004623D9"/>
    <w:rsid w:val="00465A9E"/>
    <w:rsid w:val="00481799"/>
    <w:rsid w:val="00481C6C"/>
    <w:rsid w:val="004911F5"/>
    <w:rsid w:val="004C08AD"/>
    <w:rsid w:val="004F7D17"/>
    <w:rsid w:val="00580702"/>
    <w:rsid w:val="00581C73"/>
    <w:rsid w:val="00581F72"/>
    <w:rsid w:val="0059636E"/>
    <w:rsid w:val="005D5B2E"/>
    <w:rsid w:val="006309DC"/>
    <w:rsid w:val="00634B84"/>
    <w:rsid w:val="00691879"/>
    <w:rsid w:val="006B02C3"/>
    <w:rsid w:val="006D7D94"/>
    <w:rsid w:val="007527F1"/>
    <w:rsid w:val="007C12F2"/>
    <w:rsid w:val="007E40B7"/>
    <w:rsid w:val="0080567E"/>
    <w:rsid w:val="00836010"/>
    <w:rsid w:val="00856B19"/>
    <w:rsid w:val="00864F3A"/>
    <w:rsid w:val="008914E1"/>
    <w:rsid w:val="008D1E8D"/>
    <w:rsid w:val="008D2699"/>
    <w:rsid w:val="00904307"/>
    <w:rsid w:val="00921594"/>
    <w:rsid w:val="00991AF8"/>
    <w:rsid w:val="00995ABF"/>
    <w:rsid w:val="009C6D3B"/>
    <w:rsid w:val="00A02040"/>
    <w:rsid w:val="00A26F27"/>
    <w:rsid w:val="00A44017"/>
    <w:rsid w:val="00AD74AE"/>
    <w:rsid w:val="00AF0C8B"/>
    <w:rsid w:val="00B37F01"/>
    <w:rsid w:val="00B52BF4"/>
    <w:rsid w:val="00B60838"/>
    <w:rsid w:val="00B73C01"/>
    <w:rsid w:val="00B776A7"/>
    <w:rsid w:val="00B837C7"/>
    <w:rsid w:val="00BA09D6"/>
    <w:rsid w:val="00BB58C4"/>
    <w:rsid w:val="00BC650A"/>
    <w:rsid w:val="00C138AC"/>
    <w:rsid w:val="00C13A21"/>
    <w:rsid w:val="00C23FCC"/>
    <w:rsid w:val="00C44852"/>
    <w:rsid w:val="00C45F10"/>
    <w:rsid w:val="00C55CF3"/>
    <w:rsid w:val="00C74BC3"/>
    <w:rsid w:val="00C80D52"/>
    <w:rsid w:val="00CB58E2"/>
    <w:rsid w:val="00D0737A"/>
    <w:rsid w:val="00D23D71"/>
    <w:rsid w:val="00D5697C"/>
    <w:rsid w:val="00D61A52"/>
    <w:rsid w:val="00D84B0E"/>
    <w:rsid w:val="00D872A8"/>
    <w:rsid w:val="00DB5CD5"/>
    <w:rsid w:val="00DC092A"/>
    <w:rsid w:val="00DC5248"/>
    <w:rsid w:val="00E14A9C"/>
    <w:rsid w:val="00E43A0D"/>
    <w:rsid w:val="00E90E2B"/>
    <w:rsid w:val="00F34FFF"/>
    <w:rsid w:val="00F60A5D"/>
    <w:rsid w:val="00F7384A"/>
    <w:rsid w:val="00F90790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9EE631-03E9-4E68-94AC-EDA8BCFB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uiPriority w:val="99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paragraph" w:customStyle="1" w:styleId="NormalText">
    <w:name w:val="Normal Text"/>
    <w:basedOn w:val="Normal"/>
    <w:link w:val="NormalTextChar"/>
    <w:rsid w:val="00F34FFF"/>
    <w:pPr>
      <w:spacing w:line="510" w:lineRule="exact"/>
      <w:ind w:firstLine="619"/>
      <w:jc w:val="lowKashida"/>
    </w:pPr>
    <w:rPr>
      <w:rFonts w:cs="Zar"/>
      <w:szCs w:val="26"/>
      <w:lang w:bidi="ar-SA"/>
    </w:rPr>
  </w:style>
  <w:style w:type="character" w:customStyle="1" w:styleId="NormalTextChar">
    <w:name w:val="Normal Text Char"/>
    <w:link w:val="NormalText"/>
    <w:rsid w:val="00F34FFF"/>
    <w:rPr>
      <w:rFonts w:ascii="Times New Roman" w:eastAsia="Times New Roman" w:hAnsi="Times New Roman" w:cs="Zar"/>
      <w:sz w:val="24"/>
      <w:szCs w:val="26"/>
    </w:rPr>
  </w:style>
  <w:style w:type="paragraph" w:customStyle="1" w:styleId="EquationCaption">
    <w:name w:val="Equation Caption"/>
    <w:basedOn w:val="Normal"/>
    <w:next w:val="NormalText"/>
    <w:rsid w:val="00F34FFF"/>
    <w:pPr>
      <w:tabs>
        <w:tab w:val="right" w:pos="8666"/>
      </w:tabs>
      <w:spacing w:before="240" w:after="120"/>
      <w:ind w:firstLine="1140"/>
    </w:pPr>
    <w:rPr>
      <w:rFonts w:cs="Zar"/>
      <w:sz w:val="26"/>
      <w:szCs w:val="26"/>
    </w:rPr>
  </w:style>
  <w:style w:type="paragraph" w:customStyle="1" w:styleId="2">
    <w:name w:val="متن 2"/>
    <w:basedOn w:val="Normal"/>
    <w:qFormat/>
    <w:rsid w:val="00F34FFF"/>
    <w:pPr>
      <w:spacing w:line="288" w:lineRule="auto"/>
      <w:ind w:firstLine="340"/>
      <w:contextualSpacing/>
      <w:jc w:val="both"/>
    </w:pPr>
    <w:rPr>
      <w:rFonts w:eastAsia="Calibri" w:cs="B Zar"/>
      <w:sz w:val="22"/>
      <w:szCs w:val="26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C12F2"/>
    <w:pPr>
      <w:tabs>
        <w:tab w:val="right" w:leader="dot" w:pos="8211"/>
      </w:tabs>
      <w:spacing w:after="100" w:line="259" w:lineRule="auto"/>
    </w:pPr>
    <w:rPr>
      <w:rFonts w:asciiTheme="minorHAnsi" w:eastAsiaTheme="minorEastAsia" w:hAnsiTheme="minorHAnsi" w:cs="B Zar"/>
      <w:noProof/>
    </w:rPr>
  </w:style>
  <w:style w:type="table" w:styleId="TableGrid">
    <w:name w:val="Table Grid"/>
    <w:basedOn w:val="TableNormal"/>
    <w:uiPriority w:val="39"/>
    <w:rsid w:val="00233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">
    <w:name w:val="EndNote Bibliography"/>
    <w:basedOn w:val="Normal"/>
    <w:link w:val="EndNoteBibliographyChar"/>
    <w:rsid w:val="00C45F10"/>
    <w:pPr>
      <w:framePr w:hSpace="180" w:wrap="around" w:vAnchor="page" w:hAnchor="margin" w:xAlign="center" w:y="481"/>
      <w:bidi w:val="0"/>
    </w:pPr>
    <w:rPr>
      <w:rFonts w:ascii="Calibri" w:hAnsi="Calibri" w:cs="Calibri"/>
      <w:noProof/>
      <w:sz w:val="22"/>
      <w:lang w:bidi="ar-SA"/>
    </w:rPr>
  </w:style>
  <w:style w:type="character" w:customStyle="1" w:styleId="EndNoteBibliographyChar">
    <w:name w:val="EndNote Bibliography Char"/>
    <w:link w:val="EndNoteBibliography"/>
    <w:rsid w:val="00C45F10"/>
    <w:rPr>
      <w:rFonts w:ascii="Calibri" w:eastAsia="Times New Roman" w:hAnsi="Calibri" w:cs="Calibri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09045-9A3E-45DD-BDC9-3C998BF40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4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Elham</cp:lastModifiedBy>
  <cp:revision>18</cp:revision>
  <dcterms:created xsi:type="dcterms:W3CDTF">2019-09-20T12:42:00Z</dcterms:created>
  <dcterms:modified xsi:type="dcterms:W3CDTF">2019-09-20T19:39:00Z</dcterms:modified>
</cp:coreProperties>
</file>