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C34" w:rsidRPr="007F4C34" w:rsidRDefault="007F4C34" w:rsidP="00B74D94">
      <w:pPr>
        <w:bidi w:val="0"/>
        <w:jc w:val="center"/>
        <w:rPr>
          <w:rFonts w:ascii="Times New Roman" w:eastAsia="Calibri" w:hAnsi="Times New Roman" w:cs="Times New Roman"/>
          <w:b/>
          <w:bCs/>
          <w:i/>
          <w:iCs/>
          <w:sz w:val="28"/>
          <w:szCs w:val="28"/>
        </w:rPr>
      </w:pPr>
      <w:r w:rsidRPr="007F4C34">
        <w:rPr>
          <w:rFonts w:ascii="Times New Roman" w:eastAsia="Calibri" w:hAnsi="Times New Roman" w:cs="Times New Roman"/>
          <w:b/>
          <w:bCs/>
          <w:i/>
          <w:iCs/>
          <w:sz w:val="28"/>
          <w:szCs w:val="28"/>
        </w:rPr>
        <w:t xml:space="preserve">Increased circulating miR-10a levels </w:t>
      </w:r>
    </w:p>
    <w:p w:rsidR="00771C02" w:rsidRPr="007F4C34" w:rsidRDefault="00771C02" w:rsidP="00771C02">
      <w:pPr>
        <w:bidi w:val="0"/>
        <w:rPr>
          <w:rFonts w:ascii="Times New Roman" w:eastAsia="Calibri" w:hAnsi="Times New Roman" w:cs="Times New Roman"/>
          <w:b/>
          <w:bCs/>
          <w:i/>
          <w:iCs/>
          <w:sz w:val="28"/>
          <w:szCs w:val="28"/>
        </w:rPr>
      </w:pPr>
    </w:p>
    <w:p w:rsidR="00771C02" w:rsidRPr="005562EF" w:rsidRDefault="00771C02" w:rsidP="00771C02">
      <w:pPr>
        <w:tabs>
          <w:tab w:val="left" w:pos="270"/>
        </w:tabs>
        <w:jc w:val="center"/>
        <w:rPr>
          <w:rFonts w:asciiTheme="majorBidi" w:hAnsiTheme="majorBidi" w:cstheme="majorBidi"/>
          <w:b/>
          <w:bCs/>
          <w:color w:val="292B2C"/>
          <w:sz w:val="16"/>
          <w:szCs w:val="16"/>
          <w:rtl/>
        </w:rPr>
      </w:pPr>
      <w:r w:rsidRPr="00E72423">
        <w:rPr>
          <w:rFonts w:asciiTheme="majorBidi" w:hAnsiTheme="majorBidi" w:cstheme="majorBidi"/>
          <w:color w:val="292B2C"/>
          <w:sz w:val="16"/>
          <w:szCs w:val="16"/>
        </w:rPr>
        <w:t>Nilofar Boromand, Mandana Behbahani</w:t>
      </w:r>
      <w:r w:rsidRPr="004B1715">
        <w:rPr>
          <w:sz w:val="16"/>
          <w:szCs w:val="16"/>
        </w:rPr>
        <w:t>*</w:t>
      </w:r>
    </w:p>
    <w:p w:rsidR="00771C02" w:rsidRPr="00E72423" w:rsidRDefault="00771C02" w:rsidP="00771C02">
      <w:pPr>
        <w:tabs>
          <w:tab w:val="left" w:pos="270"/>
        </w:tabs>
        <w:jc w:val="center"/>
        <w:rPr>
          <w:sz w:val="16"/>
          <w:szCs w:val="16"/>
        </w:rPr>
      </w:pPr>
      <w:r w:rsidRPr="00E72423">
        <w:rPr>
          <w:sz w:val="16"/>
          <w:szCs w:val="16"/>
        </w:rPr>
        <w:t>Department of Biotechnology, Faculty of Advanced Sciences and Technologies, Isfahan University, Isfahan, IRAN</w:t>
      </w:r>
    </w:p>
    <w:p w:rsidR="007F4C34" w:rsidRPr="007F4C34" w:rsidRDefault="00771C02" w:rsidP="00771C02">
      <w:pPr>
        <w:bidi w:val="0"/>
        <w:jc w:val="center"/>
        <w:rPr>
          <w:rFonts w:ascii="Times New Roman" w:eastAsia="Calibri" w:hAnsi="Times New Roman" w:cs="Times New Roman"/>
          <w:b/>
          <w:bCs/>
          <w:i/>
          <w:iCs/>
          <w:sz w:val="28"/>
          <w:szCs w:val="28"/>
        </w:rPr>
      </w:pPr>
      <w:r w:rsidRPr="004B1715">
        <w:rPr>
          <w:sz w:val="16"/>
          <w:szCs w:val="16"/>
        </w:rPr>
        <w:t>*Corresponding author. E-mail:</w:t>
      </w:r>
      <w:r>
        <w:rPr>
          <w:sz w:val="16"/>
          <w:szCs w:val="16"/>
        </w:rPr>
        <w:t xml:space="preserve"> </w:t>
      </w:r>
      <w:hyperlink r:id="rId7" w:history="1">
        <w:r w:rsidRPr="00565576">
          <w:rPr>
            <w:rStyle w:val="Hyperlink"/>
            <w:rFonts w:asciiTheme="majorBidi" w:hAnsiTheme="majorBidi" w:cstheme="majorBidi"/>
            <w:b/>
            <w:bCs/>
            <w:sz w:val="16"/>
            <w:szCs w:val="16"/>
          </w:rPr>
          <w:t>Ma_behbahani@yahoo.com</w:t>
        </w:r>
      </w:hyperlink>
      <w:r>
        <w:rPr>
          <w:rStyle w:val="Hyperlink"/>
          <w:rFonts w:asciiTheme="majorBidi" w:hAnsiTheme="majorBidi" w:cstheme="majorBidi"/>
          <w:b/>
          <w:bCs/>
          <w:sz w:val="16"/>
          <w:szCs w:val="16"/>
        </w:rPr>
        <w:t xml:space="preserve">, </w:t>
      </w:r>
      <w:hyperlink r:id="rId8" w:history="1">
        <w:r w:rsidRPr="00565576">
          <w:rPr>
            <w:rStyle w:val="Hyperlink"/>
            <w:rFonts w:asciiTheme="majorBidi" w:hAnsiTheme="majorBidi" w:cstheme="majorBidi"/>
            <w:b/>
            <w:bCs/>
            <w:sz w:val="16"/>
            <w:szCs w:val="16"/>
          </w:rPr>
          <w:t>ma.behbahani@ast.ui.ac.ir</w:t>
        </w:r>
      </w:hyperlink>
    </w:p>
    <w:p w:rsidR="007F4C34" w:rsidRPr="007F4C34" w:rsidRDefault="007F4C34" w:rsidP="007F4C34">
      <w:pPr>
        <w:bidi w:val="0"/>
        <w:spacing w:after="0" w:line="360" w:lineRule="auto"/>
        <w:rPr>
          <w:rFonts w:ascii="Times New Roman" w:eastAsia="Times New Roman" w:hAnsi="Times New Roman" w:cs="Times New Roman"/>
          <w:b/>
          <w:sz w:val="24"/>
          <w:szCs w:val="24"/>
          <w:u w:val="single"/>
          <w:lang w:bidi="ar-SA"/>
        </w:rPr>
      </w:pPr>
      <w:r w:rsidRPr="007F4C34">
        <w:rPr>
          <w:rFonts w:ascii="Times New Roman" w:eastAsia="Calibri" w:hAnsi="Times New Roman" w:cs="Times New Roman"/>
          <w:b/>
          <w:bCs/>
          <w:sz w:val="24"/>
          <w:szCs w:val="24"/>
          <w:lang w:bidi="ar-SA"/>
        </w:rPr>
        <w:t>Abstract</w:t>
      </w:r>
    </w:p>
    <w:p w:rsidR="007F4C34" w:rsidRPr="007F4C34" w:rsidRDefault="007F4C34" w:rsidP="00B74D94">
      <w:pPr>
        <w:tabs>
          <w:tab w:val="left" w:pos="2835"/>
        </w:tabs>
        <w:bidi w:val="0"/>
        <w:spacing w:line="360" w:lineRule="auto"/>
        <w:jc w:val="both"/>
        <w:rPr>
          <w:rFonts w:ascii="Times New Roman" w:eastAsia="Calibri" w:hAnsi="Times New Roman" w:cs="Times New Roman"/>
          <w:sz w:val="24"/>
          <w:szCs w:val="24"/>
          <w:lang w:bidi="ar-SA"/>
        </w:rPr>
      </w:pPr>
      <w:r w:rsidRPr="007F4C34">
        <w:rPr>
          <w:rFonts w:ascii="Times New Roman" w:eastAsia="Calibri" w:hAnsi="Times New Roman" w:cs="Times New Roman"/>
          <w:sz w:val="24"/>
          <w:szCs w:val="24"/>
          <w:lang w:bidi="ar-SA"/>
        </w:rPr>
        <w:t>Multiple sclerosis (MS) is an autoimmune disease of the chronic inflammatory central nervous system (CNS). MicroRNAs (miRNAs) are small non-coding RNAs that are usually 19-24 nucleotides long, some of which have different expression profiles in normal and patient tissues. There has been a significant focus on understanding the role of miRNAs in MS disease.</w:t>
      </w:r>
      <w:r w:rsidR="00771C02">
        <w:rPr>
          <w:rFonts w:ascii="Times New Roman" w:eastAsia="Calibri" w:hAnsi="Times New Roman" w:cs="Times New Roman"/>
          <w:sz w:val="24"/>
          <w:szCs w:val="24"/>
          <w:lang w:bidi="ar-SA"/>
        </w:rPr>
        <w:t xml:space="preserve"> </w:t>
      </w:r>
      <w:r w:rsidRPr="007F4C34">
        <w:rPr>
          <w:rFonts w:ascii="Times New Roman" w:eastAsia="Calibri" w:hAnsi="Times New Roman" w:cs="Times New Roman"/>
          <w:sz w:val="24"/>
          <w:szCs w:val="24"/>
          <w:lang w:bidi="ar-SA"/>
        </w:rPr>
        <w:t xml:space="preserve">We assessed transcript levels of </w:t>
      </w:r>
      <w:r w:rsidRPr="007F4C34">
        <w:rPr>
          <w:rFonts w:ascii="Times New Roman" w:eastAsia="Calibri" w:hAnsi="Times New Roman" w:cs="Times New Roman"/>
          <w:i/>
          <w:iCs/>
          <w:sz w:val="24"/>
          <w:szCs w:val="24"/>
          <w:lang w:bidi="ar-SA"/>
        </w:rPr>
        <w:t>miR-10a</w:t>
      </w:r>
      <w:r w:rsidRPr="007F4C34">
        <w:rPr>
          <w:rFonts w:ascii="Times New Roman" w:eastAsia="Calibri" w:hAnsi="Times New Roman" w:cs="Times New Roman"/>
          <w:sz w:val="24"/>
          <w:szCs w:val="24"/>
          <w:lang w:bidi="ar-SA"/>
        </w:rPr>
        <w:t xml:space="preserve"> in RRMS patients, during recurring patients and two months after relapse patients.</w:t>
      </w:r>
      <w:r w:rsidR="00771C02">
        <w:rPr>
          <w:rFonts w:ascii="Times New Roman" w:eastAsia="Calibri" w:hAnsi="Times New Roman" w:cs="Times New Roman"/>
          <w:sz w:val="24"/>
          <w:szCs w:val="24"/>
          <w:lang w:bidi="ar-SA"/>
        </w:rPr>
        <w:t xml:space="preserve"> </w:t>
      </w:r>
      <w:r w:rsidRPr="007F4C34">
        <w:rPr>
          <w:rFonts w:ascii="Times New Roman" w:eastAsia="Calibri" w:hAnsi="Times New Roman" w:cs="Times New Roman"/>
          <w:sz w:val="24"/>
          <w:szCs w:val="24"/>
          <w:lang w:bidi="ar-SA"/>
        </w:rPr>
        <w:t xml:space="preserve">In this case-control study, </w:t>
      </w:r>
      <w:r w:rsidRPr="007F4C34">
        <w:rPr>
          <w:rFonts w:ascii="Times New Roman" w:eastAsia="Calibri" w:hAnsi="Times New Roman" w:cs="Times New Roman"/>
          <w:i/>
          <w:iCs/>
          <w:sz w:val="24"/>
          <w:szCs w:val="24"/>
          <w:lang w:bidi="ar-SA"/>
        </w:rPr>
        <w:t>miR-10a</w:t>
      </w:r>
      <w:r w:rsidRPr="007F4C34">
        <w:rPr>
          <w:rFonts w:ascii="Times New Roman" w:eastAsia="Calibri" w:hAnsi="Times New Roman" w:cs="Times New Roman"/>
          <w:sz w:val="24"/>
          <w:szCs w:val="24"/>
          <w:lang w:bidi="ar-SA"/>
        </w:rPr>
        <w:t xml:space="preserve"> expression in 60 patients with RRMS, of which 30 were recurring patients and 30 were two months after relapse patients and 30 healthy subjects who referred to MS Clinic of Kashani Hospital, Isfahan Province, were examined in peripheral blood mononuclear cells (PBMCs) using real-time PCR reaction. In silico analyses was also performed on validated targets of </w:t>
      </w:r>
      <w:r w:rsidRPr="007F4C34">
        <w:rPr>
          <w:rFonts w:ascii="Times New Roman" w:eastAsia="Calibri" w:hAnsi="Times New Roman" w:cs="Times New Roman"/>
          <w:i/>
          <w:iCs/>
          <w:sz w:val="24"/>
          <w:szCs w:val="24"/>
          <w:lang w:bidi="ar-SA"/>
        </w:rPr>
        <w:t>miR-10a</w:t>
      </w:r>
      <w:r w:rsidRPr="007F4C34">
        <w:rPr>
          <w:rFonts w:ascii="Times New Roman" w:eastAsia="Calibri" w:hAnsi="Times New Roman" w:cs="Times New Roman"/>
          <w:sz w:val="24"/>
          <w:szCs w:val="24"/>
          <w:lang w:bidi="ar-SA"/>
        </w:rPr>
        <w:t xml:space="preserve"> by miRTarBase.</w:t>
      </w:r>
      <w:r w:rsidR="00771C02">
        <w:rPr>
          <w:rFonts w:ascii="Times New Roman" w:eastAsia="Calibri" w:hAnsi="Times New Roman" w:cs="Times New Roman"/>
          <w:sz w:val="24"/>
          <w:szCs w:val="24"/>
          <w:lang w:bidi="ar-SA"/>
        </w:rPr>
        <w:t xml:space="preserve"> </w:t>
      </w:r>
      <w:r w:rsidRPr="007F4C34">
        <w:rPr>
          <w:rFonts w:ascii="Times New Roman" w:eastAsia="Calibri" w:hAnsi="Times New Roman" w:cs="Times New Roman"/>
          <w:i/>
          <w:iCs/>
          <w:sz w:val="24"/>
          <w:szCs w:val="24"/>
          <w:lang w:bidi="ar-SA"/>
        </w:rPr>
        <w:t>MiR-10a</w:t>
      </w:r>
      <w:r w:rsidRPr="007F4C34">
        <w:rPr>
          <w:rFonts w:ascii="Times New Roman" w:eastAsia="Calibri" w:hAnsi="Times New Roman" w:cs="Times New Roman"/>
          <w:sz w:val="24"/>
          <w:szCs w:val="24"/>
          <w:lang w:bidi="ar-SA"/>
        </w:rPr>
        <w:t xml:space="preserve"> in recurring patients and two months after relapse patient</w:t>
      </w:r>
      <w:r w:rsidR="00B74D94">
        <w:rPr>
          <w:rFonts w:ascii="Times New Roman" w:eastAsia="Calibri" w:hAnsi="Times New Roman" w:cs="Times New Roman"/>
          <w:sz w:val="24"/>
          <w:szCs w:val="24"/>
          <w:lang w:bidi="ar-SA"/>
        </w:rPr>
        <w:t>s had an increase in expression.</w:t>
      </w:r>
    </w:p>
    <w:p w:rsidR="007F4C34" w:rsidRPr="007F4C34" w:rsidRDefault="007F4C34" w:rsidP="007F4C34">
      <w:pPr>
        <w:bidi w:val="0"/>
        <w:spacing w:line="360" w:lineRule="auto"/>
        <w:jc w:val="both"/>
        <w:rPr>
          <w:rFonts w:ascii="Times New Roman" w:eastAsia="Calibri" w:hAnsi="Times New Roman" w:cs="Times New Roman"/>
          <w:lang w:bidi="ar-SA"/>
        </w:rPr>
      </w:pPr>
      <w:r w:rsidRPr="007F4C34">
        <w:rPr>
          <w:rFonts w:ascii="Times New Roman" w:eastAsia="Calibri" w:hAnsi="Times New Roman" w:cs="Times New Roman"/>
          <w:b/>
          <w:bCs/>
          <w:sz w:val="24"/>
          <w:szCs w:val="24"/>
          <w:lang w:bidi="ar-SA"/>
        </w:rPr>
        <w:t>Keywords:</w:t>
      </w:r>
      <w:r w:rsidRPr="007F4C34">
        <w:rPr>
          <w:rFonts w:ascii="Times New Roman" w:eastAsia="Calibri" w:hAnsi="Times New Roman" w:cs="Times New Roman"/>
          <w:lang w:bidi="ar-SA"/>
        </w:rPr>
        <w:t xml:space="preserve"> </w:t>
      </w:r>
      <w:r w:rsidRPr="007F4C34">
        <w:rPr>
          <w:rFonts w:ascii="Times New Roman" w:eastAsia="Calibri" w:hAnsi="Times New Roman" w:cs="Times New Roman"/>
        </w:rPr>
        <w:t>Biomarker,</w:t>
      </w:r>
      <w:r w:rsidRPr="007F4C34">
        <w:rPr>
          <w:rFonts w:ascii="Times New Roman" w:eastAsia="Calibri" w:hAnsi="Times New Roman" w:cs="Times New Roman"/>
          <w:lang w:bidi="ar-SA"/>
        </w:rPr>
        <w:t xml:space="preserve"> </w:t>
      </w:r>
      <w:r w:rsidRPr="007F4C34">
        <w:rPr>
          <w:rFonts w:ascii="Times New Roman" w:eastAsia="Calibri" w:hAnsi="Times New Roman" w:cs="Times New Roman"/>
        </w:rPr>
        <w:t xml:space="preserve">miRNA, </w:t>
      </w:r>
      <w:r w:rsidRPr="007F4C34">
        <w:rPr>
          <w:rFonts w:ascii="Times New Roman" w:eastAsia="Calibri" w:hAnsi="Times New Roman" w:cs="Times New Roman"/>
          <w:i/>
          <w:iCs/>
        </w:rPr>
        <w:t>miR-10a</w:t>
      </w:r>
      <w:r w:rsidRPr="007F4C34">
        <w:rPr>
          <w:rFonts w:ascii="Times New Roman" w:eastAsia="Calibri" w:hAnsi="Times New Roman" w:cs="Times New Roman"/>
        </w:rPr>
        <w:t>, Multiple sclerosis.</w:t>
      </w:r>
    </w:p>
    <w:p w:rsidR="007F4C34" w:rsidRPr="007F4C34" w:rsidRDefault="007F4C34" w:rsidP="007F4C34">
      <w:pPr>
        <w:bidi w:val="0"/>
        <w:spacing w:after="0" w:line="240" w:lineRule="auto"/>
        <w:rPr>
          <w:rFonts w:ascii="Times New Roman" w:eastAsia="Calibri" w:hAnsi="Times New Roman" w:cs="Times New Roman"/>
          <w:sz w:val="24"/>
          <w:szCs w:val="24"/>
          <w:lang w:bidi="ar-SA"/>
        </w:rPr>
      </w:pPr>
    </w:p>
    <w:p w:rsidR="00AF47C2" w:rsidRDefault="00AF47C2" w:rsidP="007F4C34">
      <w:pPr>
        <w:jc w:val="center"/>
      </w:pPr>
      <w:bookmarkStart w:id="0" w:name="_GoBack"/>
      <w:bookmarkEnd w:id="0"/>
    </w:p>
    <w:sectPr w:rsidR="00AF47C2" w:rsidSect="00F20623">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32E" w:rsidRDefault="00DC332E" w:rsidP="007F4C34">
      <w:pPr>
        <w:spacing w:after="0" w:line="240" w:lineRule="auto"/>
      </w:pPr>
      <w:r>
        <w:separator/>
      </w:r>
    </w:p>
  </w:endnote>
  <w:endnote w:type="continuationSeparator" w:id="0">
    <w:p w:rsidR="00DC332E" w:rsidRDefault="00DC332E" w:rsidP="007F4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32E" w:rsidRDefault="00DC332E" w:rsidP="007F4C34">
      <w:pPr>
        <w:spacing w:after="0" w:line="240" w:lineRule="auto"/>
      </w:pPr>
      <w:r>
        <w:separator/>
      </w:r>
    </w:p>
  </w:footnote>
  <w:footnote w:type="continuationSeparator" w:id="0">
    <w:p w:rsidR="00DC332E" w:rsidRDefault="00DC332E" w:rsidP="007F4C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39E8"/>
    <w:multiLevelType w:val="hybridMultilevel"/>
    <w:tmpl w:val="27B4A732"/>
    <w:lvl w:ilvl="0" w:tplc="0409000F">
      <w:start w:val="1"/>
      <w:numFmt w:val="decimal"/>
      <w:lvlText w:val="%1."/>
      <w:lvlJc w:val="left"/>
      <w:pPr>
        <w:ind w:left="644" w:hanging="360"/>
      </w:pPr>
    </w:lvl>
    <w:lvl w:ilvl="1" w:tplc="04090019">
      <w:start w:val="1"/>
      <w:numFmt w:val="lowerLetter"/>
      <w:lvlText w:val="%2."/>
      <w:lvlJc w:val="left"/>
      <w:pPr>
        <w:ind w:left="1593" w:hanging="360"/>
      </w:pPr>
    </w:lvl>
    <w:lvl w:ilvl="2" w:tplc="0409001B">
      <w:start w:val="1"/>
      <w:numFmt w:val="lowerRoman"/>
      <w:lvlText w:val="%3."/>
      <w:lvlJc w:val="right"/>
      <w:pPr>
        <w:ind w:left="2313" w:hanging="180"/>
      </w:pPr>
    </w:lvl>
    <w:lvl w:ilvl="3" w:tplc="0409000F">
      <w:start w:val="1"/>
      <w:numFmt w:val="decimal"/>
      <w:lvlText w:val="%4."/>
      <w:lvlJc w:val="left"/>
      <w:pPr>
        <w:ind w:left="3033" w:hanging="360"/>
      </w:pPr>
    </w:lvl>
    <w:lvl w:ilvl="4" w:tplc="04090019">
      <w:start w:val="1"/>
      <w:numFmt w:val="lowerLetter"/>
      <w:lvlText w:val="%5."/>
      <w:lvlJc w:val="left"/>
      <w:pPr>
        <w:ind w:left="3753" w:hanging="360"/>
      </w:pPr>
    </w:lvl>
    <w:lvl w:ilvl="5" w:tplc="0409001B">
      <w:start w:val="1"/>
      <w:numFmt w:val="lowerRoman"/>
      <w:lvlText w:val="%6."/>
      <w:lvlJc w:val="right"/>
      <w:pPr>
        <w:ind w:left="4473" w:hanging="180"/>
      </w:pPr>
    </w:lvl>
    <w:lvl w:ilvl="6" w:tplc="0409000F">
      <w:start w:val="1"/>
      <w:numFmt w:val="decimal"/>
      <w:lvlText w:val="%7."/>
      <w:lvlJc w:val="left"/>
      <w:pPr>
        <w:ind w:left="5193" w:hanging="360"/>
      </w:pPr>
    </w:lvl>
    <w:lvl w:ilvl="7" w:tplc="04090019">
      <w:start w:val="1"/>
      <w:numFmt w:val="lowerLetter"/>
      <w:lvlText w:val="%8."/>
      <w:lvlJc w:val="left"/>
      <w:pPr>
        <w:ind w:left="5913" w:hanging="360"/>
      </w:pPr>
    </w:lvl>
    <w:lvl w:ilvl="8" w:tplc="0409001B">
      <w:start w:val="1"/>
      <w:numFmt w:val="lowerRoman"/>
      <w:lvlText w:val="%9."/>
      <w:lvlJc w:val="right"/>
      <w:pPr>
        <w:ind w:left="663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FD3"/>
    <w:rsid w:val="00012B18"/>
    <w:rsid w:val="000C6FD3"/>
    <w:rsid w:val="00144F7C"/>
    <w:rsid w:val="003E6882"/>
    <w:rsid w:val="00587900"/>
    <w:rsid w:val="005C0995"/>
    <w:rsid w:val="00771C02"/>
    <w:rsid w:val="007943B1"/>
    <w:rsid w:val="007F4C34"/>
    <w:rsid w:val="00AF47C2"/>
    <w:rsid w:val="00B74D94"/>
    <w:rsid w:val="00DC332E"/>
    <w:rsid w:val="00F2062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59E73"/>
  <w15:docId w15:val="{3E9425D4-9906-40FA-9D79-6D43A6B0B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F4C34"/>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7F4C34"/>
    <w:rPr>
      <w:rFonts w:ascii="Calibri" w:eastAsia="Calibri" w:hAnsi="Calibri" w:cs="Arial"/>
      <w:sz w:val="20"/>
      <w:szCs w:val="20"/>
    </w:rPr>
  </w:style>
  <w:style w:type="paragraph" w:styleId="BalloonText">
    <w:name w:val="Balloon Text"/>
    <w:basedOn w:val="Normal"/>
    <w:link w:val="BalloonTextChar"/>
    <w:uiPriority w:val="99"/>
    <w:semiHidden/>
    <w:unhideWhenUsed/>
    <w:rsid w:val="007F4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C34"/>
    <w:rPr>
      <w:rFonts w:ascii="Tahoma" w:hAnsi="Tahoma" w:cs="Tahoma"/>
      <w:sz w:val="16"/>
      <w:szCs w:val="16"/>
    </w:rPr>
  </w:style>
  <w:style w:type="character" w:styleId="Hyperlink">
    <w:name w:val="Hyperlink"/>
    <w:basedOn w:val="DefaultParagraphFont"/>
    <w:uiPriority w:val="99"/>
    <w:unhideWhenUsed/>
    <w:rsid w:val="00771C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12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behbahani@ast.ui.ac.ir" TargetMode="External"/><Relationship Id="rId3" Type="http://schemas.openxmlformats.org/officeDocument/2006/relationships/settings" Target="settings.xml"/><Relationship Id="rId7" Type="http://schemas.openxmlformats.org/officeDocument/2006/relationships/hyperlink" Target="mailto:Ma_behbahani@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cp:lastPrinted>2019-04-17T08:06:00Z</cp:lastPrinted>
  <dcterms:created xsi:type="dcterms:W3CDTF">2019-04-20T10:49:00Z</dcterms:created>
  <dcterms:modified xsi:type="dcterms:W3CDTF">2019-04-20T10:50:00Z</dcterms:modified>
</cp:coreProperties>
</file>