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8337D" w14:textId="68C025AE" w:rsidR="00657151" w:rsidRPr="00283008" w:rsidRDefault="00657151" w:rsidP="004E6105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83008">
        <w:rPr>
          <w:rFonts w:ascii="Times New Roman" w:hAnsi="Times New Roman" w:cs="Times New Roman"/>
          <w:b/>
          <w:bCs/>
          <w:sz w:val="22"/>
          <w:szCs w:val="22"/>
        </w:rPr>
        <w:t>Designing of specific primer pairs for quantitative analysis of I-FABP</w:t>
      </w:r>
      <w:r w:rsidR="00FA4716" w:rsidRPr="0028300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83008">
        <w:rPr>
          <w:rFonts w:ascii="Times New Roman" w:hAnsi="Times New Roman" w:cs="Times New Roman"/>
          <w:b/>
          <w:bCs/>
          <w:sz w:val="22"/>
          <w:szCs w:val="22"/>
        </w:rPr>
        <w:t>(</w:t>
      </w:r>
      <w:r w:rsidR="00D30CEC" w:rsidRPr="0028300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283008">
        <w:rPr>
          <w:rFonts w:ascii="Times New Roman" w:hAnsi="Times New Roman" w:cs="Times New Roman"/>
          <w:b/>
          <w:bCs/>
          <w:sz w:val="22"/>
          <w:szCs w:val="22"/>
        </w:rPr>
        <w:t>ntestinal fatty acid binding protein) gene in patients with celiac disease by polymerase chain reaction technique</w:t>
      </w:r>
    </w:p>
    <w:p w14:paraId="475C17E7" w14:textId="77777777" w:rsidR="00657151" w:rsidRPr="00FA4716" w:rsidRDefault="00657151" w:rsidP="00657151">
      <w:pPr>
        <w:pStyle w:val="Default"/>
        <w:rPr>
          <w:rFonts w:ascii="Times New Roman" w:hAnsi="Times New Roman" w:cs="Times New Roman"/>
        </w:rPr>
      </w:pPr>
    </w:p>
    <w:p w14:paraId="330DDC6D" w14:textId="7FCB1D16" w:rsidR="00657151" w:rsidRPr="00283008" w:rsidRDefault="00657151" w:rsidP="006C3A27">
      <w:pPr>
        <w:pStyle w:val="Default"/>
        <w:rPr>
          <w:rFonts w:ascii="Times New Roman" w:hAnsi="Times New Roman" w:cs="Times New Roman"/>
          <w:sz w:val="22"/>
          <w:szCs w:val="22"/>
          <w:rtl/>
        </w:rPr>
      </w:pPr>
      <w:r w:rsidRPr="00283008">
        <w:rPr>
          <w:rFonts w:ascii="Times New Roman" w:hAnsi="Times New Roman" w:cs="Times New Roman"/>
          <w:sz w:val="22"/>
          <w:szCs w:val="22"/>
          <w:u w:val="single"/>
        </w:rPr>
        <w:t>Nabi Yari</w:t>
      </w:r>
      <w:r w:rsidRPr="00283008">
        <w:rPr>
          <w:rFonts w:ascii="Times New Roman" w:hAnsi="Times New Roman" w:cs="Times New Roman"/>
          <w:sz w:val="22"/>
          <w:szCs w:val="22"/>
          <w:u w:val="single"/>
          <w:vertAlign w:val="superscript"/>
        </w:rPr>
        <w:t>1</w:t>
      </w:r>
      <w:r w:rsidRPr="00283008">
        <w:rPr>
          <w:rFonts w:ascii="Times New Roman" w:hAnsi="Times New Roman" w:cs="Times New Roman"/>
          <w:sz w:val="22"/>
          <w:szCs w:val="22"/>
        </w:rPr>
        <w:t>, Mohammad Rostami Nejad</w:t>
      </w:r>
      <w:r w:rsidRPr="00283008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="000E344E" w:rsidRPr="00283008">
        <w:rPr>
          <w:rFonts w:ascii="Times New Roman" w:hAnsi="Times New Roman" w:cs="Times New Roman"/>
          <w:sz w:val="22"/>
          <w:szCs w:val="22"/>
        </w:rPr>
        <w:t>, Elham Aghamohammadi</w:t>
      </w:r>
      <w:r w:rsidR="000E344E" w:rsidRPr="00283008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="004E6105" w:rsidRPr="00283008">
        <w:rPr>
          <w:rFonts w:ascii="Times New Roman" w:hAnsi="Times New Roman" w:cs="Times New Roman"/>
          <w:sz w:val="22"/>
          <w:szCs w:val="22"/>
        </w:rPr>
        <w:t xml:space="preserve">, </w:t>
      </w:r>
      <w:bookmarkStart w:id="0" w:name="_GoBack"/>
      <w:r w:rsidR="00820913" w:rsidRPr="00283008">
        <w:rPr>
          <w:rFonts w:ascii="Times New Roman" w:hAnsi="Times New Roman" w:cs="Times New Roman"/>
          <w:sz w:val="22"/>
          <w:szCs w:val="22"/>
        </w:rPr>
        <w:t xml:space="preserve">Abdolrahim </w:t>
      </w:r>
      <w:bookmarkEnd w:id="0"/>
      <w:r w:rsidR="00820913" w:rsidRPr="00283008">
        <w:rPr>
          <w:rFonts w:ascii="Times New Roman" w:hAnsi="Times New Roman" w:cs="Times New Roman"/>
          <w:sz w:val="22"/>
          <w:szCs w:val="22"/>
        </w:rPr>
        <w:t>Nikzamir</w:t>
      </w:r>
      <w:r w:rsidR="00820913" w:rsidRPr="00283008">
        <w:rPr>
          <w:rFonts w:ascii="Times New Roman" w:hAnsi="Times New Roman" w:cs="Times New Roman"/>
          <w:sz w:val="22"/>
          <w:szCs w:val="22"/>
          <w:vertAlign w:val="superscript"/>
        </w:rPr>
        <w:t>1</w:t>
      </w:r>
    </w:p>
    <w:p w14:paraId="35CDFD77" w14:textId="77777777" w:rsidR="00657151" w:rsidRPr="00283008" w:rsidRDefault="00657151" w:rsidP="006C3A27">
      <w:pPr>
        <w:pStyle w:val="Default"/>
        <w:rPr>
          <w:sz w:val="20"/>
          <w:szCs w:val="20"/>
        </w:rPr>
      </w:pPr>
    </w:p>
    <w:p w14:paraId="3A819D17" w14:textId="77777777" w:rsidR="00820913" w:rsidRPr="00283008" w:rsidRDefault="00657151" w:rsidP="00283008">
      <w:pPr>
        <w:pStyle w:val="Default"/>
        <w:jc w:val="both"/>
        <w:rPr>
          <w:rFonts w:cs="Times New Roman"/>
          <w:i/>
          <w:iCs/>
          <w:sz w:val="22"/>
          <w:szCs w:val="20"/>
        </w:rPr>
      </w:pPr>
      <w:r w:rsidRPr="00283008">
        <w:rPr>
          <w:rFonts w:ascii="Times New Roman" w:hAnsi="Times New Roman" w:cs="Times New Roman"/>
          <w:i/>
          <w:iCs/>
          <w:sz w:val="22"/>
          <w:szCs w:val="22"/>
          <w:vertAlign w:val="superscript"/>
        </w:rPr>
        <w:t>1</w:t>
      </w:r>
      <w:r w:rsidR="00820913" w:rsidRPr="00283008">
        <w:rPr>
          <w:rFonts w:eastAsia="Times New Roman" w:cs="Times New Roman"/>
          <w:spacing w:val="-4"/>
          <w:sz w:val="16"/>
          <w:szCs w:val="16"/>
          <w:lang w:bidi="ar-SA"/>
        </w:rPr>
        <w:t xml:space="preserve"> </w:t>
      </w:r>
      <w:r w:rsidR="00820913" w:rsidRPr="00283008">
        <w:rPr>
          <w:rFonts w:ascii="Times New Roman" w:hAnsi="Times New Roman" w:cs="Times New Roman"/>
          <w:i/>
          <w:iCs/>
          <w:sz w:val="22"/>
          <w:szCs w:val="22"/>
        </w:rPr>
        <w:t>Department of Clinical Biochemistry, School of Medicine, Shahid Beheshti University of Medical Sciences, Tehran, Iran</w:t>
      </w:r>
      <w:r w:rsidR="00820913" w:rsidRPr="00283008">
        <w:rPr>
          <w:rFonts w:cs="Times New Roman"/>
          <w:i/>
          <w:iCs/>
          <w:sz w:val="22"/>
          <w:szCs w:val="20"/>
        </w:rPr>
        <w:t xml:space="preserve"> </w:t>
      </w:r>
    </w:p>
    <w:p w14:paraId="45524189" w14:textId="77777777" w:rsidR="000E344E" w:rsidRPr="00283008" w:rsidRDefault="000E344E">
      <w:pPr>
        <w:pStyle w:val="Defaul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283008">
        <w:rPr>
          <w:rFonts w:ascii="Times New Roman" w:hAnsi="Times New Roman" w:cs="Times New Roman"/>
          <w:sz w:val="20"/>
          <w:szCs w:val="20"/>
        </w:rPr>
        <w:t xml:space="preserve"> </w:t>
      </w:r>
      <w:r w:rsidRPr="00283008">
        <w:rPr>
          <w:rFonts w:ascii="Times New Roman" w:hAnsi="Times New Roman" w:cs="Times New Roman"/>
          <w:i/>
          <w:iCs/>
          <w:sz w:val="22"/>
          <w:szCs w:val="22"/>
          <w:vertAlign w:val="superscript"/>
        </w:rPr>
        <w:t>2</w:t>
      </w:r>
      <w:r w:rsidRPr="00283008">
        <w:rPr>
          <w:rFonts w:ascii="Times New Roman" w:hAnsi="Times New Roman" w:cs="Times New Roman"/>
          <w:i/>
          <w:iCs/>
          <w:sz w:val="22"/>
          <w:szCs w:val="22"/>
        </w:rPr>
        <w:t>Gastroenterology and Liver Diseases Research Center, Research Institute for Gastroenterology and Liver Diseases, Shahid Beheshti University of Medical Sciences, Tehran, Iran</w:t>
      </w:r>
    </w:p>
    <w:p w14:paraId="7FA9111D" w14:textId="77777777" w:rsidR="00657151" w:rsidRDefault="00657151" w:rsidP="00734256">
      <w:pPr>
        <w:pStyle w:val="Default"/>
        <w:jc w:val="both"/>
        <w:rPr>
          <w:rFonts w:cs="Times New Roman"/>
          <w:sz w:val="32"/>
          <w:szCs w:val="32"/>
        </w:rPr>
      </w:pPr>
    </w:p>
    <w:p w14:paraId="14027867" w14:textId="77777777" w:rsidR="000E344E" w:rsidRPr="000E344E" w:rsidRDefault="000E344E" w:rsidP="000E344E">
      <w:pPr>
        <w:autoSpaceDE w:val="0"/>
        <w:autoSpaceDN w:val="0"/>
        <w:bidi w:val="0"/>
        <w:adjustRightInd w:val="0"/>
        <w:spacing w:after="0" w:line="240" w:lineRule="auto"/>
        <w:rPr>
          <w:rFonts w:ascii="Wingdings" w:hAnsi="Wingdings" w:cs="Wingdings"/>
          <w:color w:val="000000"/>
          <w:szCs w:val="24"/>
        </w:rPr>
      </w:pPr>
    </w:p>
    <w:p w14:paraId="3DD1CC6D" w14:textId="60BB71CA" w:rsidR="000E344E" w:rsidRPr="000E344E" w:rsidRDefault="00820913" w:rsidP="006C3A2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="Times New Roman"/>
          <w:color w:val="000000"/>
          <w:szCs w:val="24"/>
        </w:rPr>
      </w:pPr>
      <w:r w:rsidRPr="006C3A27">
        <w:rPr>
          <w:rFonts w:asciiTheme="majorBidi" w:hAnsiTheme="majorBidi" w:cstheme="majorBidi"/>
          <w:color w:val="000000"/>
          <w:szCs w:val="24"/>
        </w:rPr>
        <w:t>Presenter</w:t>
      </w:r>
      <w:r w:rsidR="000E344E" w:rsidRPr="000E344E">
        <w:rPr>
          <w:rFonts w:cs="Times New Roman"/>
          <w:color w:val="000000"/>
          <w:szCs w:val="24"/>
        </w:rPr>
        <w:t xml:space="preserve">: </w:t>
      </w:r>
      <w:r w:rsidR="004E6105">
        <w:rPr>
          <w:rFonts w:cs="Times New Roman"/>
          <w:color w:val="000000"/>
          <w:szCs w:val="24"/>
        </w:rPr>
        <w:t>Nabi Yari</w:t>
      </w:r>
      <w:r w:rsidR="000E344E" w:rsidRPr="000E344E">
        <w:rPr>
          <w:rFonts w:cs="Times New Roman"/>
          <w:color w:val="000000"/>
          <w:szCs w:val="24"/>
        </w:rPr>
        <w:t xml:space="preserve"> </w:t>
      </w:r>
    </w:p>
    <w:p w14:paraId="349C569A" w14:textId="1209458D" w:rsidR="00657151" w:rsidRPr="000E344E" w:rsidRDefault="000E344E" w:rsidP="00820913">
      <w:pPr>
        <w:pStyle w:val="Default"/>
        <w:jc w:val="both"/>
        <w:rPr>
          <w:rFonts w:cs="Times New Roman"/>
          <w:sz w:val="44"/>
          <w:szCs w:val="44"/>
        </w:rPr>
      </w:pPr>
      <w:r w:rsidRPr="000E344E">
        <w:rPr>
          <w:rFonts w:ascii="Times New Roman" w:hAnsi="Times New Roman" w:cs="Times New Roman"/>
          <w:b/>
          <w:bCs/>
        </w:rPr>
        <w:t>@</w:t>
      </w:r>
      <w:r w:rsidRPr="000E344E">
        <w:rPr>
          <w:rFonts w:ascii="Wingdings" w:hAnsi="Wingdings" w:cs="Wingdings"/>
          <w:sz w:val="22"/>
          <w:szCs w:val="22"/>
        </w:rPr>
        <w:t></w:t>
      </w:r>
      <w:r w:rsidRPr="000E344E">
        <w:rPr>
          <w:rFonts w:ascii="Times New Roman" w:hAnsi="Times New Roman" w:cs="Times New Roman"/>
          <w:b/>
          <w:bCs/>
        </w:rPr>
        <w:t xml:space="preserve"> </w:t>
      </w:r>
      <w:r w:rsidR="00820913" w:rsidRPr="00820913">
        <w:rPr>
          <w:rFonts w:ascii="Times New Roman" w:hAnsi="Times New Roman" w:cs="Times New Roman"/>
          <w:b/>
          <w:bCs/>
        </w:rPr>
        <w:t>nabiyari1@gmail.com</w:t>
      </w:r>
      <w:r w:rsidRPr="000E344E">
        <w:rPr>
          <w:rFonts w:ascii="Times New Roman" w:hAnsi="Times New Roman" w:cs="Times New Roman"/>
          <w:b/>
          <w:bCs/>
        </w:rPr>
        <w:t>.</w:t>
      </w:r>
    </w:p>
    <w:p w14:paraId="6CB32616" w14:textId="77777777" w:rsidR="00657151" w:rsidRDefault="00FA4716" w:rsidP="00FA4716">
      <w:pPr>
        <w:pStyle w:val="Default"/>
        <w:tabs>
          <w:tab w:val="left" w:pos="7410"/>
        </w:tabs>
        <w:jc w:val="both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ab/>
      </w:r>
    </w:p>
    <w:p w14:paraId="2FC91985" w14:textId="77777777" w:rsidR="000E344E" w:rsidRDefault="00820913" w:rsidP="000E344E">
      <w:pPr>
        <w:pStyle w:val="Default"/>
      </w:pPr>
      <w:r>
        <w:rPr>
          <w:b/>
          <w:bCs/>
          <w:sz w:val="28"/>
        </w:rPr>
        <w:t>ABSTRACT</w:t>
      </w:r>
    </w:p>
    <w:p w14:paraId="0FA5D089" w14:textId="2E27D0C6" w:rsidR="00DB7767" w:rsidRPr="006C3A27" w:rsidRDefault="00E22F8C" w:rsidP="0028300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83008">
        <w:rPr>
          <w:rFonts w:ascii="Times New Roman" w:hAnsi="Times New Roman" w:cs="Times New Roman"/>
          <w:b/>
          <w:bCs/>
        </w:rPr>
        <w:t>Background</w:t>
      </w:r>
      <w:r w:rsidRPr="006C3A27">
        <w:rPr>
          <w:rFonts w:ascii="Times New Roman" w:hAnsi="Times New Roman" w:cs="Times New Roman"/>
          <w:b/>
          <w:bCs/>
        </w:rPr>
        <w:t xml:space="preserve"> and aim</w:t>
      </w:r>
      <w:r w:rsidRPr="00283008">
        <w:rPr>
          <w:rFonts w:ascii="Times New Roman" w:hAnsi="Times New Roman" w:cs="Times New Roman"/>
          <w:b/>
          <w:bCs/>
        </w:rPr>
        <w:t>:</w:t>
      </w:r>
      <w:r w:rsidRPr="006C3A27">
        <w:rPr>
          <w:rFonts w:ascii="Times New Roman" w:hAnsi="Times New Roman" w:cs="Times New Roman"/>
        </w:rPr>
        <w:t xml:space="preserve"> </w:t>
      </w:r>
      <w:r w:rsidR="00656C22" w:rsidRPr="006C3A27">
        <w:rPr>
          <w:rFonts w:ascii="Times New Roman" w:hAnsi="Times New Roman" w:cs="Times New Roman"/>
        </w:rPr>
        <w:t>Celiac disease (CD) is a common immune-mediated enteropathy</w:t>
      </w:r>
      <w:r w:rsidR="0043005D" w:rsidRPr="006C3A27">
        <w:rPr>
          <w:rFonts w:ascii="Times New Roman" w:hAnsi="Times New Roman" w:cs="Times New Roman"/>
        </w:rPr>
        <w:t xml:space="preserve"> triggered by the gluten in genetically susceptible individuals.</w:t>
      </w:r>
      <w:r w:rsidR="00820913" w:rsidRPr="006C3A27">
        <w:rPr>
          <w:rFonts w:ascii="Times New Roman" w:hAnsi="Times New Roman" w:cs="Times New Roman"/>
        </w:rPr>
        <w:t xml:space="preserve"> </w:t>
      </w:r>
      <w:r w:rsidRPr="006C3A27">
        <w:rPr>
          <w:rFonts w:ascii="Times New Roman" w:hAnsi="Times New Roman" w:cs="Times New Roman"/>
        </w:rPr>
        <w:t>The</w:t>
      </w:r>
      <w:r w:rsidR="00820913" w:rsidRPr="006C3A27">
        <w:rPr>
          <w:rFonts w:ascii="Times New Roman" w:hAnsi="Times New Roman" w:cs="Times New Roman"/>
        </w:rPr>
        <w:t xml:space="preserve"> diagnosis of </w:t>
      </w:r>
      <w:r w:rsidRPr="006C3A27">
        <w:rPr>
          <w:rFonts w:ascii="Times New Roman" w:hAnsi="Times New Roman" w:cs="Times New Roman"/>
        </w:rPr>
        <w:t>CD is according to the serological examinations and endoscopy by biopsy</w:t>
      </w:r>
      <w:r w:rsidR="00285233" w:rsidRPr="006C3A27">
        <w:rPr>
          <w:rFonts w:ascii="Times New Roman" w:hAnsi="Times New Roman" w:cs="Times New Roman"/>
        </w:rPr>
        <w:t>.</w:t>
      </w:r>
      <w:r w:rsidR="003E7E9C" w:rsidRPr="006C3A27">
        <w:rPr>
          <w:rFonts w:ascii="Times New Roman" w:hAnsi="Times New Roman" w:cs="Times New Roman"/>
        </w:rPr>
        <w:t xml:space="preserve"> </w:t>
      </w:r>
      <w:r w:rsidR="007435F4" w:rsidRPr="006C3A27">
        <w:rPr>
          <w:rFonts w:ascii="Times New Roman" w:hAnsi="Times New Roman" w:cs="Times New Roman"/>
        </w:rPr>
        <w:t>Recent studies suggest the c</w:t>
      </w:r>
      <w:r w:rsidR="00580398" w:rsidRPr="006C3A27">
        <w:rPr>
          <w:rFonts w:ascii="Times New Roman" w:hAnsi="Times New Roman" w:cs="Times New Roman"/>
        </w:rPr>
        <w:t xml:space="preserve">rucial role </w:t>
      </w:r>
      <w:r w:rsidR="007435F4" w:rsidRPr="006C3A27">
        <w:rPr>
          <w:rFonts w:ascii="Times New Roman" w:hAnsi="Times New Roman" w:cs="Times New Roman"/>
        </w:rPr>
        <w:t>of intestinal fatty acid binding proteins</w:t>
      </w:r>
      <w:r w:rsidRPr="006C3A27">
        <w:rPr>
          <w:rFonts w:ascii="Times New Roman" w:hAnsi="Times New Roman" w:cs="Times New Roman"/>
        </w:rPr>
        <w:t xml:space="preserve"> (I-FABP)</w:t>
      </w:r>
      <w:r w:rsidR="00580398" w:rsidRPr="006C3A27">
        <w:rPr>
          <w:rFonts w:ascii="Times New Roman" w:hAnsi="Times New Roman" w:cs="Times New Roman"/>
        </w:rPr>
        <w:t xml:space="preserve"> as </w:t>
      </w:r>
      <w:r w:rsidR="007435F4" w:rsidRPr="006C3A27">
        <w:rPr>
          <w:rFonts w:ascii="Times New Roman" w:hAnsi="Times New Roman" w:cs="Times New Roman"/>
        </w:rPr>
        <w:t>the biomarker for diagnosing the celiac disease</w:t>
      </w:r>
      <w:r w:rsidR="00285233" w:rsidRPr="006C3A27">
        <w:rPr>
          <w:rFonts w:ascii="Times New Roman" w:hAnsi="Times New Roman" w:cs="Times New Roman"/>
        </w:rPr>
        <w:t>.</w:t>
      </w:r>
      <w:r w:rsidR="003E7E9C" w:rsidRPr="006C3A27">
        <w:rPr>
          <w:rFonts w:ascii="Times New Roman" w:hAnsi="Times New Roman" w:cs="Times New Roman"/>
        </w:rPr>
        <w:t xml:space="preserve"> </w:t>
      </w:r>
      <w:r w:rsidR="00DB7767" w:rsidRPr="006C3A27">
        <w:rPr>
          <w:rFonts w:ascii="Times New Roman" w:hAnsi="Times New Roman" w:cs="Times New Roman"/>
        </w:rPr>
        <w:t xml:space="preserve">The aim of this study was to investigate the new specific primer pairs for quantitative analysis of I-FABP gene in </w:t>
      </w:r>
      <w:r w:rsidR="00283008" w:rsidRPr="00283008">
        <w:rPr>
          <w:rFonts w:ascii="Times New Roman" w:hAnsi="Times New Roman" w:cs="Times New Roman"/>
        </w:rPr>
        <w:t>blood</w:t>
      </w:r>
      <w:r w:rsidR="00DB7767" w:rsidRPr="00283008">
        <w:rPr>
          <w:rFonts w:ascii="Times New Roman" w:hAnsi="Times New Roman" w:cs="Times New Roman"/>
        </w:rPr>
        <w:t xml:space="preserve"> </w:t>
      </w:r>
      <w:r w:rsidR="00DB7767" w:rsidRPr="006C3A27">
        <w:rPr>
          <w:rFonts w:ascii="Times New Roman" w:hAnsi="Times New Roman" w:cs="Times New Roman"/>
        </w:rPr>
        <w:t>samples of patients with celiac disease by polymerase chain reaction technique</w:t>
      </w:r>
      <w:r w:rsidR="001937B2" w:rsidRPr="006C3A27">
        <w:rPr>
          <w:rFonts w:ascii="Times New Roman" w:hAnsi="Times New Roman" w:cs="Times New Roman"/>
        </w:rPr>
        <w:t>.</w:t>
      </w:r>
    </w:p>
    <w:p w14:paraId="673DDDAD" w14:textId="3D32A54B" w:rsidR="0043005D" w:rsidRPr="006C3A27" w:rsidRDefault="00DB7767" w:rsidP="0028300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83008">
        <w:rPr>
          <w:rFonts w:ascii="Times New Roman" w:hAnsi="Times New Roman" w:cs="Times New Roman"/>
          <w:b/>
          <w:bCs/>
        </w:rPr>
        <w:t>Method:</w:t>
      </w:r>
      <w:r w:rsidR="00B25C66" w:rsidRPr="006C3A27">
        <w:rPr>
          <w:rFonts w:ascii="Times New Roman" w:hAnsi="Times New Roman" w:cs="Times New Roman"/>
        </w:rPr>
        <w:t xml:space="preserve"> At first the DNA was extracted directly from </w:t>
      </w:r>
      <w:r w:rsidRPr="006C3A27">
        <w:rPr>
          <w:rFonts w:ascii="Times New Roman" w:hAnsi="Times New Roman" w:cs="Times New Roman"/>
        </w:rPr>
        <w:t>patients’</w:t>
      </w:r>
      <w:r w:rsidR="00B25C66" w:rsidRPr="006C3A27">
        <w:rPr>
          <w:rFonts w:ascii="Times New Roman" w:hAnsi="Times New Roman" w:cs="Times New Roman"/>
        </w:rPr>
        <w:t xml:space="preserve"> </w:t>
      </w:r>
      <w:r w:rsidR="00B25C66" w:rsidRPr="00283008">
        <w:rPr>
          <w:rFonts w:ascii="Times New Roman" w:hAnsi="Times New Roman" w:cs="Times New Roman"/>
        </w:rPr>
        <w:t>blood</w:t>
      </w:r>
      <w:r w:rsidR="00B25C66" w:rsidRPr="006C3A27">
        <w:rPr>
          <w:rFonts w:ascii="Times New Roman" w:hAnsi="Times New Roman" w:cs="Times New Roman"/>
        </w:rPr>
        <w:t xml:space="preserve"> sample</w:t>
      </w:r>
      <w:r w:rsidRPr="006C3A27">
        <w:rPr>
          <w:rFonts w:ascii="Times New Roman" w:hAnsi="Times New Roman" w:cs="Times New Roman"/>
        </w:rPr>
        <w:t>.</w:t>
      </w:r>
      <w:r w:rsidRPr="006C3A27">
        <w:t xml:space="preserve"> </w:t>
      </w:r>
      <w:r w:rsidRPr="006C3A27">
        <w:rPr>
          <w:rFonts w:ascii="Times New Roman" w:hAnsi="Times New Roman" w:cs="Times New Roman"/>
        </w:rPr>
        <w:t xml:space="preserve">The gene specific primer pairs were designed and determining the temperature and specificity of the gene was verified by Blast software. Then </w:t>
      </w:r>
      <w:r w:rsidR="00B25C66" w:rsidRPr="006C3A27">
        <w:rPr>
          <w:rFonts w:ascii="Times New Roman" w:hAnsi="Times New Roman" w:cs="Times New Roman"/>
        </w:rPr>
        <w:t>PCR was carried out using specific primers for human</w:t>
      </w:r>
      <w:r w:rsidR="00580398" w:rsidRPr="006C3A27">
        <w:rPr>
          <w:rFonts w:ascii="Times New Roman" w:hAnsi="Times New Roman" w:cs="Times New Roman"/>
        </w:rPr>
        <w:t xml:space="preserve"> I-FABP and amplified PCR products was confirmed by gel electrophoresis.</w:t>
      </w:r>
    </w:p>
    <w:p w14:paraId="4B6E21BE" w14:textId="77777777" w:rsidR="00580398" w:rsidRPr="006C3A27" w:rsidRDefault="00DB7767" w:rsidP="00283008">
      <w:pPr>
        <w:pStyle w:val="Default"/>
        <w:spacing w:line="360" w:lineRule="auto"/>
        <w:jc w:val="both"/>
      </w:pPr>
      <w:r w:rsidRPr="00283008">
        <w:rPr>
          <w:rFonts w:ascii="Times New Roman" w:hAnsi="Times New Roman" w:cs="Times New Roman"/>
          <w:b/>
          <w:bCs/>
        </w:rPr>
        <w:t xml:space="preserve">Results: </w:t>
      </w:r>
      <w:r w:rsidR="00911021" w:rsidRPr="006C3A27">
        <w:rPr>
          <w:rFonts w:ascii="Times New Roman" w:hAnsi="Times New Roman" w:cs="Times New Roman"/>
        </w:rPr>
        <w:t>The result of this study showed that</w:t>
      </w:r>
      <w:r w:rsidR="00933D31" w:rsidRPr="006C3A27">
        <w:rPr>
          <w:rFonts w:ascii="Times New Roman" w:hAnsi="Times New Roman" w:cs="Times New Roman"/>
        </w:rPr>
        <w:t xml:space="preserve"> I-FABP was detected correctly in the </w:t>
      </w:r>
      <w:r w:rsidR="00933D31" w:rsidRPr="00283008">
        <w:rPr>
          <w:rFonts w:ascii="Times New Roman" w:hAnsi="Times New Roman" w:cs="Times New Roman"/>
        </w:rPr>
        <w:t>blood</w:t>
      </w:r>
      <w:r w:rsidR="00933D31" w:rsidRPr="006C3A27">
        <w:rPr>
          <w:rFonts w:ascii="Times New Roman" w:hAnsi="Times New Roman" w:cs="Times New Roman"/>
        </w:rPr>
        <w:t xml:space="preserve"> samples of patients with celiac disease and no nonspecific band was observed</w:t>
      </w:r>
      <w:r w:rsidR="00A27F42" w:rsidRPr="006C3A27">
        <w:rPr>
          <w:rFonts w:ascii="Times New Roman" w:hAnsi="Times New Roman" w:cs="Times New Roman"/>
        </w:rPr>
        <w:t>.</w:t>
      </w:r>
    </w:p>
    <w:p w14:paraId="5B116571" w14:textId="77777777" w:rsidR="00580398" w:rsidRPr="00283008" w:rsidRDefault="00DB7767" w:rsidP="0028300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83008">
        <w:rPr>
          <w:rFonts w:ascii="Times New Roman" w:hAnsi="Times New Roman" w:cs="Times New Roman"/>
          <w:b/>
          <w:bCs/>
        </w:rPr>
        <w:t xml:space="preserve">Conclusion: </w:t>
      </w:r>
      <w:r w:rsidR="006C3A27" w:rsidRPr="00283008">
        <w:rPr>
          <w:rFonts w:ascii="Times New Roman" w:hAnsi="Times New Roman" w:cs="Times New Roman"/>
        </w:rPr>
        <w:t xml:space="preserve">The </w:t>
      </w:r>
      <w:r w:rsidR="006C3A27" w:rsidRPr="006C3A27">
        <w:rPr>
          <w:rFonts w:ascii="Times New Roman" w:hAnsi="Times New Roman" w:cs="Times New Roman"/>
        </w:rPr>
        <w:t xml:space="preserve">results </w:t>
      </w:r>
      <w:r w:rsidR="006C3A27" w:rsidRPr="00283008">
        <w:rPr>
          <w:rFonts w:ascii="Times New Roman" w:hAnsi="Times New Roman" w:cs="Times New Roman"/>
        </w:rPr>
        <w:t>suggest that I-FABP is an early marker of gluten-induced enteropathy in celiac patients and may be of use in both clinical and research settings.</w:t>
      </w:r>
    </w:p>
    <w:p w14:paraId="456D7DB6" w14:textId="77777777" w:rsidR="00580398" w:rsidRDefault="00580398" w:rsidP="00580398">
      <w:pPr>
        <w:pStyle w:val="Default"/>
      </w:pPr>
    </w:p>
    <w:p w14:paraId="07AAB766" w14:textId="48811877" w:rsidR="00911021" w:rsidRPr="00283008" w:rsidRDefault="00580398" w:rsidP="00911021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83008">
        <w:rPr>
          <w:rFonts w:ascii="Times New Roman" w:hAnsi="Times New Roman" w:cs="Times New Roman"/>
          <w:b/>
          <w:bCs/>
        </w:rPr>
        <w:t>Keywords</w:t>
      </w:r>
      <w:r w:rsidR="00911021" w:rsidRPr="00283008">
        <w:rPr>
          <w:rFonts w:ascii="Times New Roman" w:hAnsi="Times New Roman" w:cs="Times New Roman"/>
        </w:rPr>
        <w:t>: Celiac disease, Intestinal fatty acid binding proteins</w:t>
      </w:r>
      <w:r w:rsidRPr="00283008">
        <w:rPr>
          <w:rFonts w:ascii="Times New Roman" w:hAnsi="Times New Roman" w:cs="Times New Roman"/>
        </w:rPr>
        <w:t>, polymerase chain reaction.</w:t>
      </w:r>
    </w:p>
    <w:p w14:paraId="6F237763" w14:textId="77777777" w:rsidR="00911021" w:rsidRDefault="00911021" w:rsidP="00911021">
      <w:pPr>
        <w:pStyle w:val="Default"/>
      </w:pPr>
    </w:p>
    <w:p w14:paraId="3EA7FC30" w14:textId="77777777" w:rsidR="00580398" w:rsidRPr="00B25C66" w:rsidRDefault="00580398" w:rsidP="00580398">
      <w:pPr>
        <w:pStyle w:val="Default"/>
      </w:pPr>
    </w:p>
    <w:p w14:paraId="4D829494" w14:textId="77777777" w:rsidR="0043005D" w:rsidRDefault="0043005D" w:rsidP="00D772BB">
      <w:pPr>
        <w:pStyle w:val="Default"/>
        <w:jc w:val="both"/>
      </w:pPr>
    </w:p>
    <w:p w14:paraId="258AD51F" w14:textId="77777777" w:rsidR="00285233" w:rsidRDefault="00285233" w:rsidP="00285233">
      <w:pPr>
        <w:pStyle w:val="Default"/>
        <w:jc w:val="both"/>
        <w:rPr>
          <w:rFonts w:cs="Times New Roman"/>
          <w:sz w:val="32"/>
          <w:szCs w:val="32"/>
        </w:rPr>
      </w:pPr>
    </w:p>
    <w:p w14:paraId="5A1EDA8E" w14:textId="77777777" w:rsidR="00285233" w:rsidRDefault="00285233" w:rsidP="00285233">
      <w:pPr>
        <w:pStyle w:val="Default"/>
        <w:jc w:val="both"/>
        <w:rPr>
          <w:rFonts w:cs="Times New Roman"/>
          <w:sz w:val="32"/>
          <w:szCs w:val="32"/>
        </w:rPr>
      </w:pPr>
    </w:p>
    <w:p w14:paraId="6CB360AF" w14:textId="77777777" w:rsidR="00285233" w:rsidRDefault="00285233" w:rsidP="00285233">
      <w:pPr>
        <w:pStyle w:val="Default"/>
        <w:jc w:val="both"/>
        <w:rPr>
          <w:rFonts w:cs="Times New Roman"/>
          <w:sz w:val="32"/>
          <w:szCs w:val="32"/>
        </w:rPr>
      </w:pPr>
    </w:p>
    <w:p w14:paraId="38911761" w14:textId="77777777" w:rsidR="00285233" w:rsidRDefault="00285233" w:rsidP="00285233">
      <w:pPr>
        <w:pStyle w:val="Default"/>
        <w:jc w:val="both"/>
        <w:rPr>
          <w:rFonts w:cs="Times New Roman"/>
          <w:sz w:val="32"/>
          <w:szCs w:val="32"/>
        </w:rPr>
      </w:pPr>
    </w:p>
    <w:p w14:paraId="298554BA" w14:textId="6395AAEC" w:rsidR="00285233" w:rsidRPr="00285233" w:rsidRDefault="00285233">
      <w:pPr>
        <w:pStyle w:val="Default"/>
        <w:jc w:val="both"/>
        <w:rPr>
          <w:rFonts w:cs="Times New Roman"/>
          <w:sz w:val="40"/>
          <w:szCs w:val="40"/>
          <w:rtl/>
        </w:rPr>
      </w:pPr>
    </w:p>
    <w:sectPr w:rsidR="00285233" w:rsidRPr="00285233" w:rsidSect="001F1E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6B73F" w14:textId="77777777" w:rsidR="00203C61" w:rsidRDefault="00203C61" w:rsidP="00AF2EA0">
      <w:pPr>
        <w:spacing w:after="0" w:line="240" w:lineRule="auto"/>
      </w:pPr>
      <w:r>
        <w:separator/>
      </w:r>
    </w:p>
  </w:endnote>
  <w:endnote w:type="continuationSeparator" w:id="0">
    <w:p w14:paraId="7C8054DD" w14:textId="77777777" w:rsidR="00203C61" w:rsidRDefault="00203C61" w:rsidP="00AF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312CD" w14:textId="77777777" w:rsidR="00203C61" w:rsidRDefault="00203C61" w:rsidP="00AF2EA0">
      <w:pPr>
        <w:spacing w:after="0" w:line="240" w:lineRule="auto"/>
        <w:jc w:val="right"/>
      </w:pPr>
      <w:r>
        <w:separator/>
      </w:r>
    </w:p>
  </w:footnote>
  <w:footnote w:type="continuationSeparator" w:id="0">
    <w:p w14:paraId="6532AEFB" w14:textId="77777777" w:rsidR="00203C61" w:rsidRDefault="00203C61" w:rsidP="00AF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514D95"/>
    <w:multiLevelType w:val="multilevel"/>
    <w:tmpl w:val="3FBE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8C"/>
    <w:rsid w:val="000E344E"/>
    <w:rsid w:val="001145C6"/>
    <w:rsid w:val="001937B2"/>
    <w:rsid w:val="001F1E63"/>
    <w:rsid w:val="00203C61"/>
    <w:rsid w:val="00281B8C"/>
    <w:rsid w:val="00283008"/>
    <w:rsid w:val="00285233"/>
    <w:rsid w:val="003064E0"/>
    <w:rsid w:val="00321660"/>
    <w:rsid w:val="003D3E32"/>
    <w:rsid w:val="003E7E9C"/>
    <w:rsid w:val="0043005D"/>
    <w:rsid w:val="004E6105"/>
    <w:rsid w:val="005135E9"/>
    <w:rsid w:val="00580398"/>
    <w:rsid w:val="0058336E"/>
    <w:rsid w:val="006509AA"/>
    <w:rsid w:val="00656C22"/>
    <w:rsid w:val="00657151"/>
    <w:rsid w:val="006C3A27"/>
    <w:rsid w:val="00712D64"/>
    <w:rsid w:val="00727B49"/>
    <w:rsid w:val="00734256"/>
    <w:rsid w:val="007435F4"/>
    <w:rsid w:val="0079217B"/>
    <w:rsid w:val="00820913"/>
    <w:rsid w:val="00911021"/>
    <w:rsid w:val="00933D31"/>
    <w:rsid w:val="009707E9"/>
    <w:rsid w:val="00993D53"/>
    <w:rsid w:val="00A27F42"/>
    <w:rsid w:val="00AC550A"/>
    <w:rsid w:val="00AF2EA0"/>
    <w:rsid w:val="00B02694"/>
    <w:rsid w:val="00B25C66"/>
    <w:rsid w:val="00C377D3"/>
    <w:rsid w:val="00C538A4"/>
    <w:rsid w:val="00C56B1D"/>
    <w:rsid w:val="00D30CEC"/>
    <w:rsid w:val="00D772BB"/>
    <w:rsid w:val="00D83915"/>
    <w:rsid w:val="00DB7767"/>
    <w:rsid w:val="00E22F8C"/>
    <w:rsid w:val="00E40D5F"/>
    <w:rsid w:val="00EE6736"/>
    <w:rsid w:val="00F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5CD7326"/>
  <w15:chartTrackingRefBased/>
  <w15:docId w15:val="{F93842E7-149D-421E-AFB7-0931A3F2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21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character" w:customStyle="1" w:styleId="s-ja-t">
    <w:name w:val="s-ja-t"/>
    <w:basedOn w:val="DefaultParagraphFont"/>
    <w:rsid w:val="007435F4"/>
  </w:style>
  <w:style w:type="character" w:customStyle="1" w:styleId="s-rg-t">
    <w:name w:val="s-rg-t"/>
    <w:basedOn w:val="DefaultParagraphFont"/>
    <w:rsid w:val="007435F4"/>
  </w:style>
  <w:style w:type="character" w:customStyle="1" w:styleId="s-bl-t">
    <w:name w:val="s-bl-t"/>
    <w:basedOn w:val="DefaultParagraphFont"/>
    <w:rsid w:val="007435F4"/>
  </w:style>
  <w:style w:type="paragraph" w:styleId="FootnoteText">
    <w:name w:val="footnote text"/>
    <w:basedOn w:val="Normal"/>
    <w:link w:val="FootnoteTextChar"/>
    <w:uiPriority w:val="99"/>
    <w:semiHidden/>
    <w:unhideWhenUsed/>
    <w:rsid w:val="00AF2E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E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EA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571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91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7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7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7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7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7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2A51D-4631-45F8-A219-06D4D360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2019-03-11T11:49:00Z</dcterms:created>
  <dcterms:modified xsi:type="dcterms:W3CDTF">2019-03-11T18:03:00Z</dcterms:modified>
</cp:coreProperties>
</file>