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AB8AB4" w14:textId="0F7D0707" w:rsidR="00CF5139" w:rsidRDefault="004805FF" w:rsidP="004805FF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Probing the behavior of Au-CIT/AGP bioconjugate </w:t>
      </w:r>
      <w:r w:rsidRPr="00433A8F">
        <w:rPr>
          <w:rFonts w:asciiTheme="majorBidi" w:hAnsiTheme="majorBidi" w:cstheme="majorBidi"/>
          <w:b/>
          <w:bCs/>
          <w:i/>
          <w:iCs/>
          <w:sz w:val="28"/>
          <w:szCs w:val="28"/>
        </w:rPr>
        <w:t>in vitro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and </w:t>
      </w:r>
      <w:r w:rsidRPr="00433A8F">
        <w:rPr>
          <w:rFonts w:asciiTheme="majorBidi" w:hAnsiTheme="majorBidi" w:cstheme="majorBidi"/>
          <w:b/>
          <w:bCs/>
          <w:i/>
          <w:iCs/>
          <w:sz w:val="28"/>
          <w:szCs w:val="28"/>
        </w:rPr>
        <w:t>in vivo</w:t>
      </w:r>
      <w:r>
        <w:rPr>
          <w:rFonts w:asciiTheme="majorBidi" w:hAnsiTheme="majorBidi" w:cstheme="majorBidi"/>
          <w:b/>
          <w:bCs/>
          <w:sz w:val="28"/>
          <w:szCs w:val="28"/>
        </w:rPr>
        <w:t>: formation of unexpectedly strong binding events</w:t>
      </w:r>
    </w:p>
    <w:p w14:paraId="4A835595" w14:textId="77777777" w:rsidR="00C85E5F" w:rsidRDefault="00C85E5F" w:rsidP="004805FF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14:paraId="1CB3ADFE" w14:textId="41F2D4C1" w:rsidR="00C85E5F" w:rsidRDefault="00C85E5F" w:rsidP="004805FF">
      <w:pPr>
        <w:jc w:val="center"/>
        <w:rPr>
          <w:rFonts w:asciiTheme="majorBidi" w:hAnsiTheme="majorBidi" w:cstheme="majorBidi"/>
          <w:sz w:val="24"/>
          <w:szCs w:val="24"/>
          <w:vertAlign w:val="superscript"/>
        </w:rPr>
      </w:pPr>
      <w:r w:rsidRPr="00C85E5F">
        <w:rPr>
          <w:rFonts w:asciiTheme="majorBidi" w:hAnsiTheme="majorBidi" w:cstheme="majorBidi"/>
          <w:sz w:val="24"/>
          <w:szCs w:val="24"/>
          <w:u w:val="single"/>
        </w:rPr>
        <w:t>Amin Sahraei</w:t>
      </w:r>
      <w:r w:rsidR="00B85F9F" w:rsidRPr="00B85F9F">
        <w:rPr>
          <w:rFonts w:asciiTheme="majorBidi" w:hAnsiTheme="majorBidi" w:cstheme="majorBidi"/>
          <w:sz w:val="24"/>
          <w:szCs w:val="24"/>
          <w:u w:val="single"/>
          <w:vertAlign w:val="superscript"/>
        </w:rPr>
        <w:t>a</w:t>
      </w:r>
      <w:r w:rsidRPr="00C85E5F">
        <w:rPr>
          <w:rFonts w:asciiTheme="majorBidi" w:hAnsiTheme="majorBidi" w:cstheme="majorBidi"/>
          <w:sz w:val="24"/>
          <w:szCs w:val="24"/>
        </w:rPr>
        <w:t>, Fakhrossadat Muhammad</w:t>
      </w:r>
      <w:r w:rsidR="00B85F9F">
        <w:rPr>
          <w:rFonts w:asciiTheme="majorBidi" w:hAnsiTheme="majorBidi" w:cstheme="majorBidi"/>
          <w:sz w:val="24"/>
          <w:szCs w:val="24"/>
        </w:rPr>
        <w:t>i</w:t>
      </w:r>
      <w:r w:rsidR="00B85F9F" w:rsidRPr="00B85F9F">
        <w:rPr>
          <w:rFonts w:asciiTheme="majorBidi" w:hAnsiTheme="majorBidi" w:cstheme="majorBidi"/>
          <w:sz w:val="24"/>
          <w:szCs w:val="24"/>
          <w:vertAlign w:val="superscript"/>
        </w:rPr>
        <w:t>a</w:t>
      </w:r>
      <w:r w:rsidRPr="00C85E5F">
        <w:rPr>
          <w:rFonts w:asciiTheme="majorBidi" w:hAnsiTheme="majorBidi" w:cstheme="majorBidi"/>
          <w:sz w:val="24"/>
          <w:szCs w:val="24"/>
          <w:vertAlign w:val="superscript"/>
        </w:rPr>
        <w:t>*</w:t>
      </w:r>
    </w:p>
    <w:p w14:paraId="1BD8C3D0" w14:textId="23FA9C84" w:rsidR="00B85F9F" w:rsidRDefault="00B85F9F" w:rsidP="00B85F9F">
      <w:pPr>
        <w:jc w:val="right"/>
        <w:rPr>
          <w:rFonts w:asciiTheme="majorBidi" w:hAnsiTheme="majorBidi" w:cstheme="majorBidi"/>
          <w:sz w:val="20"/>
          <w:szCs w:val="20"/>
        </w:rPr>
      </w:pPr>
      <w:proofErr w:type="spellStart"/>
      <w:proofErr w:type="gramStart"/>
      <w:r w:rsidRPr="00B85F9F">
        <w:rPr>
          <w:rFonts w:asciiTheme="majorBidi" w:hAnsiTheme="majorBidi" w:cstheme="majorBidi"/>
          <w:sz w:val="20"/>
          <w:szCs w:val="20"/>
          <w:vertAlign w:val="superscript"/>
        </w:rPr>
        <w:t>a</w:t>
      </w:r>
      <w:r w:rsidRPr="00B85F9F">
        <w:rPr>
          <w:rFonts w:asciiTheme="majorBidi" w:hAnsiTheme="majorBidi" w:cstheme="majorBidi"/>
          <w:sz w:val="20"/>
          <w:szCs w:val="20"/>
        </w:rPr>
        <w:t>Department</w:t>
      </w:r>
      <w:proofErr w:type="spellEnd"/>
      <w:proofErr w:type="gramEnd"/>
      <w:r w:rsidRPr="00B85F9F">
        <w:rPr>
          <w:rFonts w:asciiTheme="majorBidi" w:hAnsiTheme="majorBidi" w:cstheme="majorBidi"/>
          <w:sz w:val="20"/>
          <w:szCs w:val="20"/>
        </w:rPr>
        <w:t xml:space="preserve"> of Chemistry, Institute for Advanced Studies in Basic Sciences (IASBS)</w:t>
      </w:r>
    </w:p>
    <w:p w14:paraId="758C7EB9" w14:textId="77777777" w:rsidR="00B85F9F" w:rsidRPr="00B85F9F" w:rsidRDefault="00B85F9F" w:rsidP="00B85F9F">
      <w:pPr>
        <w:jc w:val="right"/>
        <w:rPr>
          <w:rFonts w:asciiTheme="majorBidi" w:hAnsiTheme="majorBidi" w:cstheme="majorBidi"/>
          <w:sz w:val="20"/>
          <w:szCs w:val="20"/>
        </w:rPr>
      </w:pPr>
    </w:p>
    <w:p w14:paraId="09040924" w14:textId="15836DFE" w:rsidR="002173D4" w:rsidRPr="00C149B7" w:rsidRDefault="008D3A79" w:rsidP="00E717A5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bookmarkStart w:id="0" w:name="_GoBack"/>
      <w:r w:rsidRPr="00DE518E">
        <w:rPr>
          <w:rFonts w:asciiTheme="majorBidi" w:hAnsiTheme="majorBidi" w:cstheme="majorBidi"/>
          <w:sz w:val="24"/>
          <w:szCs w:val="24"/>
        </w:rPr>
        <w:t>To date, n</w:t>
      </w:r>
      <w:r w:rsidR="002173D4" w:rsidRPr="00DE518E">
        <w:rPr>
          <w:rFonts w:asciiTheme="majorBidi" w:hAnsiTheme="majorBidi" w:cstheme="majorBidi"/>
          <w:sz w:val="24"/>
          <w:szCs w:val="24"/>
        </w:rPr>
        <w:t xml:space="preserve">umerous studies have </w:t>
      </w:r>
      <w:r w:rsidR="00433E2C" w:rsidRPr="00DE518E">
        <w:rPr>
          <w:rFonts w:asciiTheme="majorBidi" w:hAnsiTheme="majorBidi" w:cstheme="majorBidi"/>
          <w:sz w:val="24"/>
          <w:szCs w:val="24"/>
        </w:rPr>
        <w:t>devote</w:t>
      </w:r>
      <w:r w:rsidR="002173D4" w:rsidRPr="00DE518E">
        <w:rPr>
          <w:rFonts w:asciiTheme="majorBidi" w:hAnsiTheme="majorBidi" w:cstheme="majorBidi"/>
          <w:sz w:val="24"/>
          <w:szCs w:val="24"/>
        </w:rPr>
        <w:t xml:space="preserve">d </w:t>
      </w:r>
      <w:r w:rsidR="00433E2C" w:rsidRPr="00DE518E">
        <w:rPr>
          <w:rFonts w:asciiTheme="majorBidi" w:hAnsiTheme="majorBidi" w:cstheme="majorBidi"/>
          <w:sz w:val="24"/>
          <w:szCs w:val="24"/>
        </w:rPr>
        <w:t xml:space="preserve">to </w:t>
      </w:r>
      <w:r w:rsidR="002173D4" w:rsidRPr="00DE518E">
        <w:rPr>
          <w:rFonts w:asciiTheme="majorBidi" w:hAnsiTheme="majorBidi" w:cstheme="majorBidi"/>
          <w:sz w:val="24"/>
          <w:szCs w:val="24"/>
        </w:rPr>
        <w:t xml:space="preserve">the interaction </w:t>
      </w:r>
      <w:r w:rsidR="00C149B7" w:rsidRPr="00DE518E">
        <w:rPr>
          <w:rFonts w:asciiTheme="majorBidi" w:hAnsiTheme="majorBidi" w:cstheme="majorBidi"/>
          <w:sz w:val="24"/>
          <w:szCs w:val="24"/>
        </w:rPr>
        <w:t>between</w:t>
      </w:r>
      <w:r w:rsidR="002173D4" w:rsidRPr="00DE518E">
        <w:rPr>
          <w:rFonts w:asciiTheme="majorBidi" w:hAnsiTheme="majorBidi" w:cstheme="majorBidi"/>
          <w:sz w:val="24"/>
          <w:szCs w:val="24"/>
        </w:rPr>
        <w:t xml:space="preserve"> high abundance plasma proteins </w:t>
      </w:r>
      <w:r w:rsidR="00C149B7" w:rsidRPr="00DE518E">
        <w:rPr>
          <w:rFonts w:asciiTheme="majorBidi" w:hAnsiTheme="majorBidi" w:cstheme="majorBidi"/>
          <w:sz w:val="24"/>
          <w:szCs w:val="24"/>
        </w:rPr>
        <w:t>and</w:t>
      </w:r>
      <w:r w:rsidR="002173D4" w:rsidRPr="00DE518E">
        <w:rPr>
          <w:rFonts w:asciiTheme="majorBidi" w:hAnsiTheme="majorBidi" w:cstheme="majorBidi"/>
          <w:sz w:val="24"/>
          <w:szCs w:val="24"/>
        </w:rPr>
        <w:t xml:space="preserve"> different nanostructures. In this </w:t>
      </w:r>
      <w:r w:rsidR="00271423" w:rsidRPr="00DE518E">
        <w:rPr>
          <w:rFonts w:asciiTheme="majorBidi" w:hAnsiTheme="majorBidi" w:cstheme="majorBidi"/>
          <w:sz w:val="24"/>
          <w:szCs w:val="24"/>
        </w:rPr>
        <w:t>work</w:t>
      </w:r>
      <w:r w:rsidR="002173D4" w:rsidRPr="00DE518E">
        <w:rPr>
          <w:rFonts w:asciiTheme="majorBidi" w:hAnsiTheme="majorBidi" w:cstheme="majorBidi"/>
          <w:sz w:val="24"/>
          <w:szCs w:val="24"/>
        </w:rPr>
        <w:t xml:space="preserve">, the interaction </w:t>
      </w:r>
      <w:r w:rsidR="00433E2C" w:rsidRPr="00DE518E">
        <w:rPr>
          <w:rFonts w:asciiTheme="majorBidi" w:hAnsiTheme="majorBidi" w:cstheme="majorBidi"/>
          <w:sz w:val="24"/>
          <w:szCs w:val="24"/>
        </w:rPr>
        <w:t>of</w:t>
      </w:r>
      <w:r w:rsidR="002173D4" w:rsidRPr="00DE518E">
        <w:rPr>
          <w:rFonts w:asciiTheme="majorBidi" w:hAnsiTheme="majorBidi" w:cstheme="majorBidi"/>
          <w:sz w:val="24"/>
          <w:szCs w:val="24"/>
        </w:rPr>
        <w:t xml:space="preserve"> citrate-stabilized spherical gold</w:t>
      </w:r>
      <w:r w:rsidR="00433E2C" w:rsidRPr="00DE518E">
        <w:rPr>
          <w:rFonts w:asciiTheme="majorBidi" w:hAnsiTheme="majorBidi" w:cstheme="majorBidi"/>
          <w:sz w:val="24"/>
          <w:szCs w:val="24"/>
        </w:rPr>
        <w:t xml:space="preserve"> </w:t>
      </w:r>
      <w:r w:rsidR="002173D4" w:rsidRPr="00DE518E">
        <w:rPr>
          <w:rFonts w:asciiTheme="majorBidi" w:hAnsiTheme="majorBidi" w:cstheme="majorBidi"/>
          <w:sz w:val="24"/>
          <w:szCs w:val="24"/>
        </w:rPr>
        <w:t>(Au-CIT)</w:t>
      </w:r>
      <w:r w:rsidR="00433E2C" w:rsidRPr="00DE518E">
        <w:rPr>
          <w:rFonts w:asciiTheme="majorBidi" w:hAnsiTheme="majorBidi" w:cstheme="majorBidi"/>
          <w:sz w:val="24"/>
          <w:szCs w:val="24"/>
        </w:rPr>
        <w:t xml:space="preserve"> </w:t>
      </w:r>
      <w:r w:rsidR="00C149B7" w:rsidRPr="00DE518E">
        <w:rPr>
          <w:rFonts w:asciiTheme="majorBidi" w:hAnsiTheme="majorBidi" w:cstheme="majorBidi"/>
          <w:sz w:val="24"/>
          <w:szCs w:val="24"/>
        </w:rPr>
        <w:t>nanoparticles</w:t>
      </w:r>
      <w:r w:rsidR="002173D4" w:rsidRPr="00DE518E">
        <w:rPr>
          <w:rFonts w:asciiTheme="majorBidi" w:hAnsiTheme="majorBidi" w:cstheme="majorBidi"/>
          <w:sz w:val="24"/>
          <w:szCs w:val="24"/>
        </w:rPr>
        <w:t xml:space="preserve"> with human α-1-acid glycoprotein (AGP)</w:t>
      </w:r>
      <w:r w:rsidR="00C149B7" w:rsidRPr="00DE518E">
        <w:rPr>
          <w:rFonts w:asciiTheme="majorBidi" w:hAnsiTheme="majorBidi" w:cstheme="majorBidi"/>
          <w:sz w:val="24"/>
          <w:szCs w:val="24"/>
        </w:rPr>
        <w:t xml:space="preserve"> </w:t>
      </w:r>
      <w:r w:rsidR="00F211C2" w:rsidRPr="00DE518E">
        <w:rPr>
          <w:rFonts w:asciiTheme="majorBidi" w:hAnsiTheme="majorBidi" w:cstheme="majorBidi"/>
          <w:sz w:val="24"/>
          <w:szCs w:val="24"/>
        </w:rPr>
        <w:t>is</w:t>
      </w:r>
      <w:r w:rsidR="00C149B7" w:rsidRPr="00DE518E">
        <w:rPr>
          <w:rFonts w:asciiTheme="majorBidi" w:hAnsiTheme="majorBidi" w:cstheme="majorBidi"/>
          <w:sz w:val="24"/>
          <w:szCs w:val="24"/>
        </w:rPr>
        <w:t xml:space="preserve"> investigated through experimental techniques and molecular docking approach. Alpha-1-acid glycoprotein is </w:t>
      </w:r>
      <w:r w:rsidR="002173D4" w:rsidRPr="00DE518E">
        <w:rPr>
          <w:rFonts w:asciiTheme="majorBidi" w:hAnsiTheme="majorBidi" w:cstheme="majorBidi"/>
          <w:sz w:val="24"/>
          <w:szCs w:val="24"/>
        </w:rPr>
        <w:t>one of the major acute phase proteins in human</w:t>
      </w:r>
      <w:r w:rsidR="00301551" w:rsidRPr="00DE518E">
        <w:rPr>
          <w:rFonts w:asciiTheme="majorBidi" w:hAnsiTheme="majorBidi" w:cstheme="majorBidi"/>
          <w:sz w:val="24"/>
          <w:szCs w:val="24"/>
        </w:rPr>
        <w:t xml:space="preserve"> bodies</w:t>
      </w:r>
      <w:r w:rsidR="002173D4" w:rsidRPr="00DE518E">
        <w:rPr>
          <w:rFonts w:asciiTheme="majorBidi" w:hAnsiTheme="majorBidi" w:cstheme="majorBidi"/>
          <w:sz w:val="24"/>
          <w:szCs w:val="24"/>
        </w:rPr>
        <w:t xml:space="preserve"> with a normal plasma concentration between 0.6 and 1.2 mg mL</w:t>
      </w:r>
      <w:r w:rsidR="002173D4" w:rsidRPr="00DE518E">
        <w:rPr>
          <w:rFonts w:asciiTheme="majorBidi" w:eastAsia="AdvOT8608a8d1+22" w:hAnsiTheme="majorBidi" w:cstheme="majorBidi"/>
          <w:sz w:val="24"/>
          <w:szCs w:val="24"/>
          <w:vertAlign w:val="superscript"/>
        </w:rPr>
        <w:t>−</w:t>
      </w:r>
      <w:r w:rsidR="002173D4" w:rsidRPr="00DE518E">
        <w:rPr>
          <w:rFonts w:asciiTheme="majorBidi" w:hAnsiTheme="majorBidi" w:cstheme="majorBidi"/>
          <w:sz w:val="24"/>
          <w:szCs w:val="24"/>
          <w:vertAlign w:val="superscript"/>
        </w:rPr>
        <w:t>1</w:t>
      </w:r>
      <w:r w:rsidR="002173D4" w:rsidRPr="00DE518E">
        <w:rPr>
          <w:rFonts w:asciiTheme="majorBidi" w:hAnsiTheme="majorBidi" w:cstheme="majorBidi"/>
          <w:sz w:val="24"/>
          <w:szCs w:val="24"/>
        </w:rPr>
        <w:t>, which can increase 4-fold in response to systemic tissue injury, inflammation, or infection.</w:t>
      </w:r>
      <w:r w:rsidR="00271423" w:rsidRPr="00DE518E">
        <w:rPr>
          <w:rFonts w:asciiTheme="majorBidi" w:hAnsiTheme="majorBidi" w:cstheme="majorBidi"/>
          <w:sz w:val="24"/>
          <w:szCs w:val="24"/>
        </w:rPr>
        <w:t xml:space="preserve"> I</w:t>
      </w:r>
      <w:r w:rsidR="002173D4" w:rsidRPr="00DE518E">
        <w:rPr>
          <w:rFonts w:asciiTheme="majorBidi" w:hAnsiTheme="majorBidi" w:cstheme="majorBidi"/>
          <w:sz w:val="24"/>
          <w:szCs w:val="24"/>
        </w:rPr>
        <w:t xml:space="preserve">t is shown using different physicochemical approaches that AGP </w:t>
      </w:r>
      <w:r w:rsidR="0022288C" w:rsidRPr="00DE518E">
        <w:rPr>
          <w:rFonts w:asciiTheme="majorBidi" w:hAnsiTheme="majorBidi" w:cstheme="majorBidi"/>
          <w:sz w:val="24"/>
          <w:szCs w:val="24"/>
        </w:rPr>
        <w:t xml:space="preserve">adsorption </w:t>
      </w:r>
      <w:r w:rsidR="002173D4" w:rsidRPr="00DE518E">
        <w:rPr>
          <w:rFonts w:asciiTheme="majorBidi" w:hAnsiTheme="majorBidi" w:cstheme="majorBidi"/>
          <w:sz w:val="24"/>
          <w:szCs w:val="24"/>
        </w:rPr>
        <w:t>not only takes place readily on</w:t>
      </w:r>
      <w:r w:rsidR="0022288C" w:rsidRPr="00DE518E">
        <w:rPr>
          <w:rFonts w:asciiTheme="majorBidi" w:hAnsiTheme="majorBidi" w:cstheme="majorBidi"/>
          <w:sz w:val="24"/>
          <w:szCs w:val="24"/>
        </w:rPr>
        <w:t xml:space="preserve"> the surface of</w:t>
      </w:r>
      <w:r w:rsidR="002173D4" w:rsidRPr="00DE518E">
        <w:rPr>
          <w:rFonts w:asciiTheme="majorBidi" w:hAnsiTheme="majorBidi" w:cstheme="majorBidi"/>
          <w:sz w:val="24"/>
          <w:szCs w:val="24"/>
        </w:rPr>
        <w:t xml:space="preserve"> Au-CIT nanoparticles, but the binding constant</w:t>
      </w:r>
      <w:r w:rsidR="0022288C" w:rsidRPr="00DE518E">
        <w:rPr>
          <w:rFonts w:asciiTheme="majorBidi" w:hAnsiTheme="majorBidi" w:cstheme="majorBidi"/>
          <w:sz w:val="24"/>
          <w:szCs w:val="24"/>
        </w:rPr>
        <w:t>s</w:t>
      </w:r>
      <w:r w:rsidR="002173D4" w:rsidRPr="00DE518E">
        <w:rPr>
          <w:rFonts w:asciiTheme="majorBidi" w:hAnsiTheme="majorBidi" w:cstheme="majorBidi"/>
          <w:sz w:val="24"/>
          <w:szCs w:val="24"/>
        </w:rPr>
        <w:t xml:space="preserve"> </w:t>
      </w:r>
      <w:r w:rsidR="0022288C" w:rsidRPr="00DE518E">
        <w:rPr>
          <w:rFonts w:asciiTheme="majorBidi" w:hAnsiTheme="majorBidi" w:cstheme="majorBidi"/>
          <w:sz w:val="24"/>
          <w:szCs w:val="24"/>
        </w:rPr>
        <w:t>are</w:t>
      </w:r>
      <w:r w:rsidR="002173D4" w:rsidRPr="00DE518E">
        <w:rPr>
          <w:rFonts w:asciiTheme="majorBidi" w:hAnsiTheme="majorBidi" w:cstheme="majorBidi"/>
          <w:sz w:val="24"/>
          <w:szCs w:val="24"/>
        </w:rPr>
        <w:t xml:space="preserve"> as high as 10</w:t>
      </w:r>
      <w:r w:rsidR="0022288C" w:rsidRPr="00DE518E">
        <w:rPr>
          <w:rFonts w:asciiTheme="majorBidi" w:hAnsiTheme="majorBidi" w:cstheme="majorBidi"/>
          <w:sz w:val="24"/>
          <w:szCs w:val="24"/>
          <w:vertAlign w:val="superscript"/>
        </w:rPr>
        <w:t>+</w:t>
      </w:r>
      <w:r w:rsidR="002173D4" w:rsidRPr="00DE518E">
        <w:rPr>
          <w:rFonts w:asciiTheme="majorBidi" w:hAnsiTheme="majorBidi" w:cstheme="majorBidi"/>
          <w:sz w:val="24"/>
          <w:szCs w:val="24"/>
          <w:vertAlign w:val="superscript"/>
        </w:rPr>
        <w:t>12</w:t>
      </w:r>
      <w:r w:rsidR="00F15A1A" w:rsidRPr="00DE518E">
        <w:rPr>
          <w:rFonts w:asciiTheme="majorBidi" w:hAnsiTheme="majorBidi" w:cstheme="majorBidi"/>
          <w:sz w:val="24"/>
          <w:szCs w:val="24"/>
        </w:rPr>
        <w:t xml:space="preserve"> M</w:t>
      </w:r>
      <w:r w:rsidR="00F15A1A" w:rsidRPr="00DE518E">
        <w:rPr>
          <w:rFonts w:asciiTheme="majorBidi" w:hAnsiTheme="majorBidi" w:cstheme="majorBidi"/>
          <w:sz w:val="24"/>
          <w:szCs w:val="24"/>
          <w:vertAlign w:val="superscript"/>
        </w:rPr>
        <w:t>-1</w:t>
      </w:r>
      <w:r w:rsidR="002173D4" w:rsidRPr="00DE518E">
        <w:rPr>
          <w:rFonts w:asciiTheme="majorBidi" w:hAnsiTheme="majorBidi" w:cstheme="majorBidi"/>
          <w:sz w:val="24"/>
          <w:szCs w:val="24"/>
        </w:rPr>
        <w:t>, being several orders of magnitude larger than other highly abundant serum proteins.</w:t>
      </w:r>
      <w:r w:rsidR="00B94E14" w:rsidRPr="00DE518E">
        <w:rPr>
          <w:rFonts w:asciiTheme="majorBidi" w:hAnsiTheme="majorBidi" w:cstheme="majorBidi"/>
          <w:sz w:val="24"/>
          <w:szCs w:val="24"/>
        </w:rPr>
        <w:t xml:space="preserve"> Moreover,</w:t>
      </w:r>
      <w:r w:rsidR="002173D4" w:rsidRPr="00DE518E">
        <w:rPr>
          <w:rFonts w:asciiTheme="majorBidi" w:hAnsiTheme="majorBidi" w:cstheme="majorBidi"/>
          <w:sz w:val="24"/>
          <w:szCs w:val="24"/>
        </w:rPr>
        <w:t xml:space="preserve"> </w:t>
      </w:r>
      <w:r w:rsidR="00B94E14" w:rsidRPr="00DE518E">
        <w:rPr>
          <w:rFonts w:asciiTheme="majorBidi" w:hAnsiTheme="majorBidi" w:cstheme="majorBidi"/>
          <w:sz w:val="24"/>
          <w:szCs w:val="24"/>
        </w:rPr>
        <w:t xml:space="preserve">positively charged CTAB-stabilized gold nanoparticles (nanospheres and nanorods) </w:t>
      </w:r>
      <w:r w:rsidR="002C0FE5" w:rsidRPr="00DE518E">
        <w:rPr>
          <w:rFonts w:asciiTheme="majorBidi" w:hAnsiTheme="majorBidi" w:cstheme="majorBidi"/>
          <w:sz w:val="24"/>
          <w:szCs w:val="24"/>
        </w:rPr>
        <w:t>are</w:t>
      </w:r>
      <w:r w:rsidR="00B94E14" w:rsidRPr="00DE518E">
        <w:rPr>
          <w:rFonts w:asciiTheme="majorBidi" w:hAnsiTheme="majorBidi" w:cstheme="majorBidi"/>
          <w:sz w:val="24"/>
          <w:szCs w:val="24"/>
        </w:rPr>
        <w:t xml:space="preserve"> synthesized and characterized in order to investigate the effect of </w:t>
      </w:r>
      <w:r w:rsidR="00263870" w:rsidRPr="00DE518E">
        <w:rPr>
          <w:rFonts w:asciiTheme="majorBidi" w:hAnsiTheme="majorBidi" w:cstheme="majorBidi"/>
          <w:sz w:val="24"/>
          <w:szCs w:val="24"/>
        </w:rPr>
        <w:t>nanoparticles'</w:t>
      </w:r>
      <w:r w:rsidR="00B94E14" w:rsidRPr="00DE518E">
        <w:rPr>
          <w:rFonts w:asciiTheme="majorBidi" w:hAnsiTheme="majorBidi" w:cstheme="majorBidi"/>
          <w:sz w:val="24"/>
          <w:szCs w:val="24"/>
        </w:rPr>
        <w:t xml:space="preserve"> surface char</w:t>
      </w:r>
      <w:r w:rsidR="007C0035" w:rsidRPr="00DE518E">
        <w:rPr>
          <w:rFonts w:asciiTheme="majorBidi" w:hAnsiTheme="majorBidi" w:cstheme="majorBidi"/>
          <w:sz w:val="24"/>
          <w:szCs w:val="24"/>
        </w:rPr>
        <w:t>g</w:t>
      </w:r>
      <w:r w:rsidR="00B94E14" w:rsidRPr="00DE518E">
        <w:rPr>
          <w:rFonts w:asciiTheme="majorBidi" w:hAnsiTheme="majorBidi" w:cstheme="majorBidi"/>
          <w:sz w:val="24"/>
          <w:szCs w:val="24"/>
        </w:rPr>
        <w:t>e</w:t>
      </w:r>
      <w:r w:rsidR="00263870" w:rsidRPr="00DE518E">
        <w:rPr>
          <w:rFonts w:asciiTheme="majorBidi" w:hAnsiTheme="majorBidi" w:cstheme="majorBidi"/>
          <w:sz w:val="24"/>
          <w:szCs w:val="24"/>
        </w:rPr>
        <w:t xml:space="preserve"> on the</w:t>
      </w:r>
      <w:r w:rsidR="006D54F8" w:rsidRPr="00DE518E">
        <w:rPr>
          <w:rFonts w:asciiTheme="majorBidi" w:hAnsiTheme="majorBidi" w:cstheme="majorBidi"/>
          <w:sz w:val="24"/>
          <w:szCs w:val="24"/>
        </w:rPr>
        <w:t>ir</w:t>
      </w:r>
      <w:r w:rsidR="00263870" w:rsidRPr="00DE518E">
        <w:rPr>
          <w:rFonts w:asciiTheme="majorBidi" w:hAnsiTheme="majorBidi" w:cstheme="majorBidi"/>
          <w:sz w:val="24"/>
          <w:szCs w:val="24"/>
        </w:rPr>
        <w:t xml:space="preserve"> binding constant and cytotoxicity </w:t>
      </w:r>
      <w:r w:rsidR="00121877" w:rsidRPr="00DE518E">
        <w:rPr>
          <w:rFonts w:asciiTheme="majorBidi" w:hAnsiTheme="majorBidi" w:cstheme="majorBidi"/>
          <w:sz w:val="24"/>
          <w:szCs w:val="24"/>
        </w:rPr>
        <w:t>during interaction with AGP.</w:t>
      </w:r>
      <w:r w:rsidR="005B7E04" w:rsidRPr="00DE518E">
        <w:rPr>
          <w:rFonts w:asciiTheme="majorBidi" w:hAnsiTheme="majorBidi" w:cstheme="majorBidi"/>
          <w:sz w:val="24"/>
          <w:szCs w:val="24"/>
        </w:rPr>
        <w:t xml:space="preserve"> Cell viability assays showed that Au-CIT/AGP </w:t>
      </w:r>
      <w:r w:rsidR="00F15A1A" w:rsidRPr="00DE518E">
        <w:rPr>
          <w:rFonts w:asciiTheme="majorBidi" w:hAnsiTheme="majorBidi" w:cstheme="majorBidi"/>
          <w:sz w:val="24"/>
          <w:szCs w:val="24"/>
        </w:rPr>
        <w:t>bioconjugate</w:t>
      </w:r>
      <w:r w:rsidR="005B7E04" w:rsidRPr="00DE518E">
        <w:rPr>
          <w:rFonts w:asciiTheme="majorBidi" w:hAnsiTheme="majorBidi" w:cstheme="majorBidi"/>
          <w:sz w:val="24"/>
          <w:szCs w:val="24"/>
        </w:rPr>
        <w:t xml:space="preserve"> </w:t>
      </w:r>
      <w:r w:rsidR="007D247E" w:rsidRPr="00DE518E">
        <w:rPr>
          <w:rFonts w:asciiTheme="majorBidi" w:hAnsiTheme="majorBidi" w:cstheme="majorBidi"/>
          <w:sz w:val="24"/>
          <w:szCs w:val="24"/>
        </w:rPr>
        <w:t>are</w:t>
      </w:r>
      <w:r w:rsidR="002173D4" w:rsidRPr="00DE518E">
        <w:rPr>
          <w:rFonts w:asciiTheme="majorBidi" w:hAnsiTheme="majorBidi" w:cstheme="majorBidi"/>
          <w:sz w:val="24"/>
          <w:szCs w:val="24"/>
        </w:rPr>
        <w:t xml:space="preserve"> nontoxic to cells over a large concentration range. This</w:t>
      </w:r>
      <w:r w:rsidR="007D247E" w:rsidRPr="00DE518E">
        <w:rPr>
          <w:rFonts w:asciiTheme="majorBidi" w:hAnsiTheme="majorBidi" w:cstheme="majorBidi"/>
          <w:sz w:val="24"/>
          <w:szCs w:val="24"/>
        </w:rPr>
        <w:t xml:space="preserve"> observation</w:t>
      </w:r>
      <w:r w:rsidR="002173D4" w:rsidRPr="00DE518E">
        <w:rPr>
          <w:rFonts w:asciiTheme="majorBidi" w:hAnsiTheme="majorBidi" w:cstheme="majorBidi"/>
          <w:sz w:val="24"/>
          <w:szCs w:val="24"/>
        </w:rPr>
        <w:t xml:space="preserve"> is in contrast to positively charged gold nanostructures,</w:t>
      </w:r>
      <w:r w:rsidR="002D2B11" w:rsidRPr="00DE518E">
        <w:rPr>
          <w:rFonts w:asciiTheme="majorBidi" w:hAnsiTheme="majorBidi" w:cstheme="majorBidi"/>
          <w:sz w:val="24"/>
          <w:szCs w:val="24"/>
        </w:rPr>
        <w:t xml:space="preserve"> </w:t>
      </w:r>
      <w:r w:rsidR="002173D4" w:rsidRPr="00DE518E">
        <w:rPr>
          <w:rFonts w:asciiTheme="majorBidi" w:hAnsiTheme="majorBidi" w:cstheme="majorBidi"/>
          <w:sz w:val="24"/>
          <w:szCs w:val="24"/>
        </w:rPr>
        <w:t xml:space="preserve">which displayed lower binding affinity to AGP and higher cytotoxicity even at low </w:t>
      </w:r>
      <w:r w:rsidR="00DB0ED1" w:rsidRPr="00DE518E">
        <w:rPr>
          <w:rFonts w:asciiTheme="majorBidi" w:hAnsiTheme="majorBidi" w:cstheme="majorBidi"/>
          <w:sz w:val="24"/>
          <w:szCs w:val="24"/>
        </w:rPr>
        <w:t>nano</w:t>
      </w:r>
      <w:r w:rsidR="002173D4" w:rsidRPr="00DE518E">
        <w:rPr>
          <w:rFonts w:asciiTheme="majorBidi" w:hAnsiTheme="majorBidi" w:cstheme="majorBidi"/>
          <w:sz w:val="24"/>
          <w:szCs w:val="24"/>
        </w:rPr>
        <w:t xml:space="preserve">particle concentrations. The in vivo investigations showed that the Au-CIT/AGP </w:t>
      </w:r>
      <w:r w:rsidR="00DB0ED1" w:rsidRPr="00DE518E">
        <w:rPr>
          <w:rFonts w:asciiTheme="majorBidi" w:hAnsiTheme="majorBidi" w:cstheme="majorBidi"/>
          <w:sz w:val="24"/>
          <w:szCs w:val="24"/>
        </w:rPr>
        <w:t>bioconjugates</w:t>
      </w:r>
      <w:r w:rsidR="002173D4" w:rsidRPr="00DE518E">
        <w:rPr>
          <w:rFonts w:asciiTheme="majorBidi" w:hAnsiTheme="majorBidi" w:cstheme="majorBidi"/>
          <w:sz w:val="24"/>
          <w:szCs w:val="24"/>
        </w:rPr>
        <w:t xml:space="preserve"> are mostly distributed in the liver and spleen and are absent in kidney and bladder as well as in peripheral organs like brain, confirming their confinement to the blood vessels.</w:t>
      </w:r>
      <w:r w:rsidR="00BE404C" w:rsidRPr="00DE518E">
        <w:rPr>
          <w:rFonts w:asciiTheme="majorBidi" w:hAnsiTheme="majorBidi" w:cstheme="majorBidi"/>
          <w:sz w:val="24"/>
          <w:szCs w:val="24"/>
        </w:rPr>
        <w:t xml:space="preserve"> Also, the different features of </w:t>
      </w:r>
      <w:r w:rsidR="0044335F" w:rsidRPr="00DE518E">
        <w:rPr>
          <w:rFonts w:asciiTheme="majorBidi" w:hAnsiTheme="majorBidi" w:cstheme="majorBidi"/>
          <w:sz w:val="24"/>
          <w:szCs w:val="24"/>
        </w:rPr>
        <w:t xml:space="preserve">the </w:t>
      </w:r>
      <w:r w:rsidR="00BE404C" w:rsidRPr="00DE518E">
        <w:rPr>
          <w:rFonts w:asciiTheme="majorBidi" w:hAnsiTheme="majorBidi" w:cstheme="majorBidi"/>
          <w:sz w:val="24"/>
          <w:szCs w:val="24"/>
        </w:rPr>
        <w:t xml:space="preserve">interaction between Au-CIT </w:t>
      </w:r>
      <w:r w:rsidR="0044335F" w:rsidRPr="00DE518E">
        <w:rPr>
          <w:rFonts w:asciiTheme="majorBidi" w:hAnsiTheme="majorBidi" w:cstheme="majorBidi"/>
          <w:sz w:val="24"/>
          <w:szCs w:val="24"/>
        </w:rPr>
        <w:t xml:space="preserve">nanoparticles </w:t>
      </w:r>
      <w:r w:rsidR="00BE404C" w:rsidRPr="00DE518E">
        <w:rPr>
          <w:rFonts w:asciiTheme="majorBidi" w:hAnsiTheme="majorBidi" w:cstheme="majorBidi"/>
          <w:sz w:val="24"/>
          <w:szCs w:val="24"/>
        </w:rPr>
        <w:t>and AGP such as the most stable configurations, the distance of three tryptophan residues of AGP from the nanoparticle’s</w:t>
      </w:r>
      <w:r w:rsidR="00E717A5" w:rsidRPr="00DE518E">
        <w:rPr>
          <w:rFonts w:asciiTheme="majorBidi" w:hAnsiTheme="majorBidi" w:cstheme="majorBidi"/>
          <w:sz w:val="24"/>
          <w:szCs w:val="24"/>
        </w:rPr>
        <w:t xml:space="preserve"> surface and the type of forces and bonds are investigated by molecular docking simulations.</w:t>
      </w:r>
      <w:bookmarkEnd w:id="0"/>
    </w:p>
    <w:sectPr w:rsidR="002173D4" w:rsidRPr="00C149B7" w:rsidSect="00505E1E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vOT8608a8d1+22">
    <w:altName w:val="Microsoft YaHei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4A"/>
    <w:rsid w:val="00121877"/>
    <w:rsid w:val="002173D4"/>
    <w:rsid w:val="0022288C"/>
    <w:rsid w:val="00263870"/>
    <w:rsid w:val="00271423"/>
    <w:rsid w:val="002C0FE5"/>
    <w:rsid w:val="002D2B11"/>
    <w:rsid w:val="00301551"/>
    <w:rsid w:val="00433A8F"/>
    <w:rsid w:val="00433E2C"/>
    <w:rsid w:val="0044335F"/>
    <w:rsid w:val="004805FF"/>
    <w:rsid w:val="00505E1E"/>
    <w:rsid w:val="005B7E04"/>
    <w:rsid w:val="006B0A44"/>
    <w:rsid w:val="006D54F8"/>
    <w:rsid w:val="007C0035"/>
    <w:rsid w:val="007D247E"/>
    <w:rsid w:val="008D3A79"/>
    <w:rsid w:val="00B85F9F"/>
    <w:rsid w:val="00B94E14"/>
    <w:rsid w:val="00BE404C"/>
    <w:rsid w:val="00C149B7"/>
    <w:rsid w:val="00C85E5F"/>
    <w:rsid w:val="00CF5139"/>
    <w:rsid w:val="00DB0ED1"/>
    <w:rsid w:val="00DE518E"/>
    <w:rsid w:val="00E717A5"/>
    <w:rsid w:val="00F15A1A"/>
    <w:rsid w:val="00F211C2"/>
    <w:rsid w:val="00F45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FF61FA"/>
  <w15:chartTrackingRefBased/>
  <w15:docId w15:val="{FCBDA5EA-024C-4FBD-96AD-A82F19C75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2019-03-18T01:53:00Z</dcterms:created>
  <dcterms:modified xsi:type="dcterms:W3CDTF">2019-04-10T17:12:00Z</dcterms:modified>
</cp:coreProperties>
</file>