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541" w:rsidRPr="007D6A0C" w:rsidRDefault="00600490" w:rsidP="007D6A0C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D6A0C">
        <w:rPr>
          <w:rFonts w:ascii="Times New Roman" w:hAnsi="Times New Roman" w:cs="Times New Roman"/>
          <w:b/>
          <w:bCs/>
          <w:sz w:val="24"/>
          <w:szCs w:val="24"/>
        </w:rPr>
        <w:t>Probing inclusion complexes of HPβCD with amino acids by physicochemical specification</w:t>
      </w:r>
    </w:p>
    <w:p w:rsidR="004C5541" w:rsidRDefault="004C5541" w:rsidP="004C5541">
      <w:pPr>
        <w:spacing w:line="360" w:lineRule="auto"/>
        <w:jc w:val="lowKashida"/>
        <w:rPr>
          <w:rFonts w:ascii="Times New Roman" w:hAnsi="Times New Roman" w:cs="Times New Roman"/>
          <w:b/>
          <w:bCs/>
          <w:sz w:val="20"/>
          <w:szCs w:val="20"/>
          <w:rtl/>
        </w:rPr>
      </w:pPr>
      <w:r w:rsidRPr="004C5541">
        <w:rPr>
          <w:rFonts w:ascii="Times New Roman" w:hAnsi="Times New Roman" w:cs="Times New Roman"/>
          <w:b/>
          <w:bCs/>
          <w:sz w:val="20"/>
          <w:szCs w:val="20"/>
          <w:u w:val="single"/>
        </w:rPr>
        <w:t>Donya Esmaeilpour</w:t>
      </w:r>
      <w:r w:rsidRPr="004C5541">
        <w:rPr>
          <w:rFonts w:ascii="Times New Roman" w:hAnsi="Times New Roman" w:cs="Times New Roman"/>
          <w:b/>
          <w:bCs/>
          <w:sz w:val="20"/>
          <w:szCs w:val="20"/>
        </w:rPr>
        <w:t>, A. K. Bordbar</w:t>
      </w:r>
      <w:r w:rsidRPr="004C5541">
        <w:rPr>
          <w:rFonts w:ascii="Times New Roman" w:hAnsi="Times New Roman" w:cs="Times New Roman"/>
          <w:b/>
          <w:bCs/>
          <w:sz w:val="20"/>
          <w:szCs w:val="20"/>
          <w:vertAlign w:val="superscript"/>
        </w:rPr>
        <w:t>*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</w:t>
      </w:r>
    </w:p>
    <w:p w:rsidR="004C5541" w:rsidRDefault="007D6A0C" w:rsidP="007D6A0C">
      <w:pPr>
        <w:spacing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7D6A0C">
        <w:rPr>
          <w:rFonts w:ascii="Times New Roman" w:hAnsi="Times New Roman" w:cs="Times New Roman"/>
          <w:sz w:val="18"/>
          <w:szCs w:val="18"/>
        </w:rPr>
        <w:t>Department of Chemistry, University of Isfahan, Isfahan, 8174673441, Iran.</w:t>
      </w:r>
    </w:p>
    <w:p w:rsidR="0047705C" w:rsidRPr="0047705C" w:rsidRDefault="0047705C" w:rsidP="0047705C">
      <w:pPr>
        <w:spacing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  <w:rtl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ABSTRACT</w:t>
      </w:r>
    </w:p>
    <w:p w:rsidR="0062257F" w:rsidRDefault="002346C8" w:rsidP="008F1E90">
      <w:pPr>
        <w:spacing w:line="360" w:lineRule="auto"/>
        <w:jc w:val="lowKashi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Density (</w:t>
      </w:r>
      <w:r w:rsidRPr="003415C9">
        <w:rPr>
          <w:rFonts w:ascii="Times New Roman" w:hAnsi="Times New Roman" w:cs="Times New Roman"/>
          <w:sz w:val="24"/>
          <w:szCs w:val="24"/>
        </w:rPr>
        <w:t>ρ</w:t>
      </w:r>
      <w:r>
        <w:rPr>
          <w:rFonts w:ascii="Times New Roman" w:hAnsi="Times New Roman" w:cs="Times New Roman"/>
          <w:sz w:val="24"/>
          <w:szCs w:val="24"/>
        </w:rPr>
        <w:t>),</w:t>
      </w:r>
      <w:r w:rsidRPr="003415C9">
        <w:rPr>
          <w:rFonts w:ascii="Times New Roman" w:hAnsi="Times New Roman" w:cs="Times New Roman"/>
          <w:sz w:val="24"/>
          <w:szCs w:val="24"/>
        </w:rPr>
        <w:t xml:space="preserve"> viscosity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sym w:font="Symbol" w:char="F068"/>
      </w:r>
      <w:r>
        <w:rPr>
          <w:rFonts w:ascii="Times New Roman" w:hAnsi="Times New Roman" w:cs="Times New Roman"/>
          <w:sz w:val="24"/>
          <w:szCs w:val="24"/>
        </w:rPr>
        <w:t>)</w:t>
      </w:r>
      <w:r w:rsidRPr="003415C9">
        <w:rPr>
          <w:rFonts w:ascii="Times New Roman" w:hAnsi="Times New Roman" w:cs="Times New Roman"/>
          <w:sz w:val="24"/>
          <w:szCs w:val="24"/>
        </w:rPr>
        <w:t xml:space="preserve"> and surface tension</w:t>
      </w:r>
      <w:r>
        <w:rPr>
          <w:rFonts w:ascii="Times New Roman" w:hAnsi="Times New Roman" w:cs="Times New Roman"/>
          <w:sz w:val="24"/>
          <w:szCs w:val="24"/>
        </w:rPr>
        <w:t xml:space="preserve"> (γ)</w:t>
      </w:r>
      <w:r w:rsidRPr="003415C9">
        <w:rPr>
          <w:rFonts w:ascii="Times New Roman" w:hAnsi="Times New Roman" w:cs="Times New Roman"/>
          <w:sz w:val="24"/>
          <w:szCs w:val="24"/>
        </w:rPr>
        <w:t xml:space="preserve"> of</w:t>
      </w:r>
      <w:r>
        <w:rPr>
          <w:rFonts w:ascii="Times New Roman" w:hAnsi="Times New Roman" w:cs="Times New Roman"/>
          <w:sz w:val="24"/>
          <w:szCs w:val="24"/>
        </w:rPr>
        <w:t xml:space="preserve"> some amino acids (alanine, glyc</w:t>
      </w:r>
      <w:r w:rsidRPr="003415C9">
        <w:rPr>
          <w:rFonts w:ascii="Times New Roman" w:hAnsi="Times New Roman" w:cs="Times New Roman"/>
          <w:sz w:val="24"/>
          <w:szCs w:val="24"/>
        </w:rPr>
        <w:t>ine, and valine) in different mass fraction of aqueous hydroxypropyl-β-cyclodextrin</w:t>
      </w:r>
      <w:r>
        <w:rPr>
          <w:rFonts w:ascii="Times New Roman" w:hAnsi="Times New Roman" w:cs="Times New Roman"/>
          <w:sz w:val="24"/>
          <w:szCs w:val="24"/>
        </w:rPr>
        <w:t xml:space="preserve"> (HPβCD)</w:t>
      </w:r>
      <w:r w:rsidRPr="003415C9">
        <w:rPr>
          <w:rFonts w:ascii="Times New Roman" w:hAnsi="Times New Roman" w:cs="Times New Roman"/>
          <w:sz w:val="24"/>
          <w:szCs w:val="24"/>
        </w:rPr>
        <w:t xml:space="preserve"> mixtures (0.002, 0.004,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15C9">
        <w:rPr>
          <w:rFonts w:ascii="Times New Roman" w:hAnsi="Times New Roman" w:cs="Times New Roman"/>
          <w:sz w:val="24"/>
          <w:szCs w:val="24"/>
        </w:rPr>
        <w:t>0.006,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15C9">
        <w:rPr>
          <w:rFonts w:ascii="Times New Roman" w:hAnsi="Times New Roman" w:cs="Times New Roman"/>
          <w:sz w:val="24"/>
          <w:szCs w:val="24"/>
        </w:rPr>
        <w:t>0.008,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15C9">
        <w:rPr>
          <w:rFonts w:ascii="Times New Roman" w:hAnsi="Times New Roman" w:cs="Times New Roman"/>
          <w:sz w:val="24"/>
          <w:szCs w:val="24"/>
        </w:rPr>
        <w:t>0.009) have been measured at different temperatures (278.15, 283.15, 288.15, 293.15, 295.15 K).</w:t>
      </w:r>
      <w:r>
        <w:rPr>
          <w:rFonts w:ascii="Times New Roman" w:hAnsi="Times New Roman" w:cs="Times New Roman"/>
          <w:sz w:val="24"/>
          <w:szCs w:val="24"/>
        </w:rPr>
        <w:t xml:space="preserve"> The formation and comparative study of inclusion complexes have been analyzed by available data supplemented with γ, ρ, </w:t>
      </w:r>
      <w:r>
        <w:rPr>
          <w:rFonts w:ascii="Times New Roman" w:hAnsi="Times New Roman" w:cs="Times New Roman"/>
          <w:sz w:val="24"/>
          <w:szCs w:val="24"/>
        </w:rPr>
        <w:sym w:font="Symbol" w:char="F068"/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415C9">
        <w:rPr>
          <w:rFonts w:ascii="Times New Roman" w:hAnsi="Times New Roman" w:cs="Times New Roman"/>
          <w:sz w:val="24"/>
          <w:szCs w:val="24"/>
        </w:rPr>
        <w:t xml:space="preserve"> The ρ and </w:t>
      </w:r>
      <w:r>
        <w:rPr>
          <w:rFonts w:ascii="Times New Roman" w:hAnsi="Times New Roman" w:cs="Times New Roman"/>
          <w:sz w:val="24"/>
          <w:szCs w:val="24"/>
        </w:rPr>
        <w:sym w:font="Symbol" w:char="F068"/>
      </w:r>
      <w:r w:rsidRPr="003415C9">
        <w:rPr>
          <w:rFonts w:ascii="Times New Roman" w:hAnsi="Times New Roman" w:cs="Times New Roman"/>
          <w:sz w:val="24"/>
          <w:szCs w:val="24"/>
        </w:rPr>
        <w:t xml:space="preserve"> values have been utilized to evaluate </w:t>
      </w:r>
      <w:r>
        <w:rPr>
          <w:rFonts w:ascii="Times New Roman" w:hAnsi="Times New Roman" w:cs="Times New Roman"/>
          <w:sz w:val="24"/>
          <w:szCs w:val="24"/>
        </w:rPr>
        <w:t xml:space="preserve">amounts </w:t>
      </w:r>
      <w:r w:rsidRPr="003415C9">
        <w:rPr>
          <w:rFonts w:ascii="Times New Roman" w:hAnsi="Times New Roman" w:cs="Times New Roman"/>
          <w:sz w:val="24"/>
          <w:szCs w:val="24"/>
        </w:rPr>
        <w:t>of the apparent molar volume (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Φ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sub>
        </m:sSub>
      </m:oMath>
      <w:r w:rsidRPr="003415C9">
        <w:rPr>
          <w:rFonts w:ascii="Times New Roman" w:hAnsi="Times New Roman" w:cs="Times New Roman"/>
          <w:sz w:val="24"/>
          <w:szCs w:val="24"/>
        </w:rPr>
        <w:t>), limiting apparent molar volume (</w:t>
      </w: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Φ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p>
        </m:sSubSup>
      </m:oMath>
      <w:r>
        <w:rPr>
          <w:rFonts w:ascii="Times New Roman" w:hAnsi="Times New Roman" w:cs="Times New Roman"/>
          <w:sz w:val="24"/>
          <w:szCs w:val="24"/>
        </w:rPr>
        <w:t>), experimental</w:t>
      </w:r>
      <w:r w:rsidRPr="003415C9">
        <w:rPr>
          <w:rFonts w:ascii="Times New Roman" w:hAnsi="Times New Roman" w:cs="Times New Roman"/>
          <w:sz w:val="24"/>
          <w:szCs w:val="24"/>
        </w:rPr>
        <w:t xml:space="preserve"> slope (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sub>
        </m:sSub>
      </m:oMath>
      <w:r w:rsidRPr="003415C9">
        <w:rPr>
          <w:rFonts w:ascii="Times New Roman" w:hAnsi="Times New Roman" w:cs="Times New Roman"/>
          <w:sz w:val="24"/>
          <w:szCs w:val="24"/>
        </w:rPr>
        <w:t>), limiting apparent molar expansibilities (</w:t>
      </w: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Φ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E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p>
        </m:sSubSup>
      </m:oMath>
      <w:r w:rsidRPr="003415C9">
        <w:rPr>
          <w:rFonts w:ascii="Times New Roman" w:hAnsi="Times New Roman" w:cs="Times New Roman"/>
          <w:sz w:val="24"/>
          <w:szCs w:val="24"/>
        </w:rPr>
        <w:t xml:space="preserve">), </w:t>
      </w:r>
      <w:r w:rsidRPr="003415C9">
        <w:rPr>
          <w:rFonts w:asciiTheme="majorBidi" w:hAnsiTheme="majorBidi" w:cstheme="majorBidi"/>
          <w:sz w:val="24"/>
          <w:szCs w:val="24"/>
        </w:rPr>
        <w:t>Activation energy</w:t>
      </w:r>
      <w:r>
        <w:rPr>
          <w:rFonts w:asciiTheme="majorBidi" w:hAnsiTheme="majorBidi" w:cstheme="majorBidi"/>
          <w:sz w:val="24"/>
          <w:szCs w:val="24"/>
        </w:rPr>
        <w:t xml:space="preserve"> (E)</w:t>
      </w:r>
      <w:r w:rsidRPr="003415C9">
        <w:rPr>
          <w:rFonts w:asciiTheme="majorBidi" w:hAnsiTheme="majorBidi" w:cstheme="majorBidi"/>
          <w:sz w:val="24"/>
          <w:szCs w:val="24"/>
        </w:rPr>
        <w:t>, kinematic viscosity</w:t>
      </w:r>
      <w:r>
        <w:rPr>
          <w:rFonts w:asciiTheme="majorBidi" w:hAnsiTheme="majorBidi" w:cstheme="majorBidi"/>
          <w:sz w:val="24"/>
          <w:szCs w:val="24"/>
        </w:rPr>
        <w:t xml:space="preserve"> (</w:t>
      </w:r>
      <w:r>
        <w:rPr>
          <w:rFonts w:asciiTheme="majorBidi" w:hAnsiTheme="majorBidi" w:cstheme="majorBidi"/>
          <w:sz w:val="24"/>
          <w:szCs w:val="24"/>
        </w:rPr>
        <w:sym w:font="Symbol" w:char="F075"/>
      </w:r>
      <w:r>
        <w:rPr>
          <w:rFonts w:asciiTheme="majorBidi" w:hAnsiTheme="majorBidi" w:cstheme="majorBidi"/>
          <w:sz w:val="24"/>
          <w:szCs w:val="24"/>
        </w:rPr>
        <w:t>)</w:t>
      </w:r>
      <w:r w:rsidRPr="003415C9">
        <w:rPr>
          <w:rFonts w:asciiTheme="majorBidi" w:hAnsiTheme="majorBidi" w:cstheme="majorBidi"/>
          <w:sz w:val="24"/>
          <w:szCs w:val="24"/>
        </w:rPr>
        <w:t>, relative viscosity</w:t>
      </w:r>
      <w:r>
        <w:rPr>
          <w:rFonts w:asciiTheme="majorBidi" w:hAnsiTheme="majorBidi" w:cstheme="majorBidi"/>
          <w:sz w:val="24"/>
          <w:szCs w:val="24"/>
        </w:rPr>
        <w:t xml:space="preserve"> (</w:t>
      </w:r>
      <m:oMath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i/>
                <w:sz w:val="24"/>
                <w:szCs w:val="24"/>
              </w:rPr>
              <w:sym w:font="Symbol" w:char="F068"/>
            </m:r>
          </m:e>
          <m:sub>
            <m:r>
              <w:rPr>
                <w:rFonts w:ascii="Cambria Math" w:hAnsi="Cambria Math" w:cstheme="majorBidi"/>
                <w:sz w:val="24"/>
                <w:szCs w:val="24"/>
              </w:rPr>
              <m:t>r</m:t>
            </m:r>
          </m:sub>
        </m:sSub>
      </m:oMath>
      <w:r>
        <w:rPr>
          <w:rFonts w:asciiTheme="majorBidi" w:hAnsiTheme="majorBidi" w:cstheme="majorBidi"/>
          <w:sz w:val="24"/>
          <w:szCs w:val="24"/>
        </w:rPr>
        <w:t>)</w:t>
      </w:r>
      <w:r w:rsidRPr="003415C9">
        <w:rPr>
          <w:rFonts w:asciiTheme="majorBidi" w:hAnsiTheme="majorBidi" w:cstheme="majorBidi"/>
          <w:sz w:val="24"/>
          <w:szCs w:val="24"/>
        </w:rPr>
        <w:t>, intrinsic viscosity</w:t>
      </w:r>
      <w:r>
        <w:rPr>
          <w:rFonts w:asciiTheme="majorBidi" w:hAnsiTheme="majorBidi" w:cstheme="majorBidi"/>
          <w:sz w:val="24"/>
          <w:szCs w:val="24"/>
        </w:rPr>
        <w:t xml:space="preserve"> (</w:t>
      </w:r>
      <m:oMath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i/>
                <w:sz w:val="24"/>
                <w:szCs w:val="24"/>
              </w:rPr>
              <w:sym w:font="Symbol" w:char="F068"/>
            </m:r>
          </m:e>
          <m:sub>
            <m:r>
              <w:rPr>
                <w:rFonts w:ascii="Cambria Math" w:hAnsi="Cambria Math" w:cstheme="majorBidi"/>
                <w:sz w:val="24"/>
                <w:szCs w:val="24"/>
              </w:rPr>
              <m:t>int</m:t>
            </m:r>
          </m:sub>
        </m:sSub>
      </m:oMath>
      <w:r>
        <w:rPr>
          <w:rFonts w:asciiTheme="majorBidi" w:hAnsiTheme="majorBidi" w:cstheme="majorBidi"/>
          <w:sz w:val="24"/>
          <w:szCs w:val="24"/>
        </w:rPr>
        <w:t>)</w:t>
      </w:r>
      <w:r w:rsidRPr="003415C9">
        <w:rPr>
          <w:rFonts w:asciiTheme="majorBidi" w:hAnsiTheme="majorBidi" w:cstheme="majorBidi"/>
          <w:sz w:val="24"/>
          <w:szCs w:val="24"/>
        </w:rPr>
        <w:t>, spatial viscosity</w:t>
      </w:r>
      <w:r>
        <w:rPr>
          <w:rFonts w:asciiTheme="majorBidi" w:hAnsiTheme="majorBidi" w:cstheme="majorBidi"/>
          <w:sz w:val="24"/>
          <w:szCs w:val="24"/>
        </w:rPr>
        <w:t xml:space="preserve"> (</w:t>
      </w:r>
      <m:oMath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i/>
                <w:sz w:val="24"/>
                <w:szCs w:val="24"/>
              </w:rPr>
              <w:sym w:font="Symbol" w:char="F068"/>
            </m:r>
          </m:e>
          <m:sub>
            <m:r>
              <w:rPr>
                <w:rFonts w:ascii="Cambria Math" w:hAnsi="Cambria Math" w:cstheme="majorBidi"/>
                <w:sz w:val="24"/>
                <w:szCs w:val="24"/>
              </w:rPr>
              <m:t>s</m:t>
            </m:r>
          </m:sub>
        </m:sSub>
      </m:oMath>
      <w:r>
        <w:rPr>
          <w:rFonts w:asciiTheme="majorBidi" w:hAnsiTheme="majorBidi" w:cstheme="majorBidi"/>
          <w:sz w:val="24"/>
          <w:szCs w:val="24"/>
        </w:rPr>
        <w:t>)</w:t>
      </w:r>
      <w:r w:rsidRPr="003415C9">
        <w:rPr>
          <w:rFonts w:asciiTheme="majorBidi" w:hAnsiTheme="majorBidi" w:cstheme="majorBidi"/>
          <w:sz w:val="24"/>
          <w:szCs w:val="24"/>
        </w:rPr>
        <w:t xml:space="preserve"> and dynamic viscosity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sym w:font="Symbol" w:char="F068"/>
      </w:r>
      <w:r>
        <w:rPr>
          <w:rFonts w:ascii="Times New Roman" w:hAnsi="Times New Roman" w:cs="Times New Roman"/>
          <w:sz w:val="24"/>
          <w:szCs w:val="24"/>
        </w:rPr>
        <w:t>)</w:t>
      </w:r>
      <w:r w:rsidRPr="003415C9">
        <w:rPr>
          <w:rFonts w:ascii="Times New Roman" w:hAnsi="Times New Roman" w:cs="Times New Roman"/>
          <w:sz w:val="24"/>
          <w:szCs w:val="24"/>
        </w:rPr>
        <w:t xml:space="preserve"> of the systems studied. The surface tension studies confirm that the inclusion complexes have been formed with 1:1 stoichiometry. All the parameters support the formation of the</w:t>
      </w:r>
      <w:r>
        <w:rPr>
          <w:rFonts w:ascii="Times New Roman" w:hAnsi="Times New Roman" w:cs="Times New Roman"/>
          <w:sz w:val="24"/>
          <w:szCs w:val="24"/>
        </w:rPr>
        <w:t xml:space="preserve"> inclusion complexes that were clarified</w:t>
      </w:r>
      <w:r w:rsidRPr="003415C9">
        <w:rPr>
          <w:rFonts w:ascii="Times New Roman" w:hAnsi="Times New Roman" w:cs="Times New Roman"/>
          <w:sz w:val="24"/>
          <w:szCs w:val="24"/>
        </w:rPr>
        <w:t xml:space="preserve"> based upon hydrophobic effects, H-bonds, electrostatic forces and structural</w:t>
      </w:r>
      <w:r w:rsidR="009074F6">
        <w:rPr>
          <w:rFonts w:ascii="Times New Roman" w:hAnsi="Times New Roman" w:cs="Times New Roman"/>
          <w:sz w:val="24"/>
          <w:szCs w:val="24"/>
        </w:rPr>
        <w:t xml:space="preserve"> effects. The findings represent the formation of the inclusion complexes and thus the current work describes its proportion towards various applications as a controlled delivery system in the field of modern bio-medical sciences.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</w:t>
      </w:r>
    </w:p>
    <w:p w:rsidR="008F1E90" w:rsidRPr="008F1E90" w:rsidRDefault="008F1E90" w:rsidP="008F1E90">
      <w:pPr>
        <w:spacing w:line="36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r w:rsidRPr="008F1E90">
        <w:rPr>
          <w:rFonts w:ascii="Times New Roman" w:hAnsi="Times New Roman" w:cs="Times New Roman"/>
          <w:b/>
          <w:bCs/>
          <w:sz w:val="20"/>
          <w:szCs w:val="20"/>
        </w:rPr>
        <w:t>Keywords</w:t>
      </w:r>
      <w:r w:rsidRPr="008F1E90">
        <w:rPr>
          <w:rFonts w:ascii="Times New Roman" w:hAnsi="Times New Roman" w:cs="Times New Roman"/>
          <w:sz w:val="20"/>
          <w:szCs w:val="20"/>
        </w:rPr>
        <w:t>: Density, Dynamic viscosity, Activation energy, kinematic viscosity, Amino acid, HP-β-cyclodextrin.</w:t>
      </w:r>
    </w:p>
    <w:bookmarkEnd w:id="0"/>
    <w:p w:rsidR="008F1E90" w:rsidRPr="008F1E90" w:rsidRDefault="008F1E90" w:rsidP="008F1E90">
      <w:pPr>
        <w:spacing w:line="360" w:lineRule="auto"/>
        <w:jc w:val="right"/>
        <w:rPr>
          <w:rFonts w:ascii="Times New Roman" w:hAnsi="Times New Roman" w:cs="Times New Roman" w:hint="cs"/>
          <w:b/>
          <w:bCs/>
          <w:sz w:val="20"/>
          <w:szCs w:val="20"/>
          <w:rtl/>
        </w:rPr>
      </w:pPr>
    </w:p>
    <w:sectPr w:rsidR="008F1E90" w:rsidRPr="008F1E90" w:rsidSect="001246AD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541" w:rsidRDefault="004C5541" w:rsidP="004C5541">
      <w:pPr>
        <w:spacing w:after="0" w:line="240" w:lineRule="auto"/>
      </w:pPr>
      <w:r>
        <w:separator/>
      </w:r>
    </w:p>
  </w:endnote>
  <w:endnote w:type="continuationSeparator" w:id="0">
    <w:p w:rsidR="004C5541" w:rsidRDefault="004C5541" w:rsidP="004C5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541" w:rsidRDefault="004C5541" w:rsidP="004C5541">
      <w:pPr>
        <w:spacing w:after="0" w:line="240" w:lineRule="auto"/>
      </w:pPr>
      <w:r>
        <w:separator/>
      </w:r>
    </w:p>
  </w:footnote>
  <w:footnote w:type="continuationSeparator" w:id="0">
    <w:p w:rsidR="004C5541" w:rsidRDefault="004C5541" w:rsidP="004C55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6C8"/>
    <w:rsid w:val="001246AD"/>
    <w:rsid w:val="002346C8"/>
    <w:rsid w:val="0047705C"/>
    <w:rsid w:val="004C5541"/>
    <w:rsid w:val="00600490"/>
    <w:rsid w:val="007D6A0C"/>
    <w:rsid w:val="008721B6"/>
    <w:rsid w:val="008F1E90"/>
    <w:rsid w:val="009074F6"/>
    <w:rsid w:val="00992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AE83E3-7A6E-443F-B778-78AE6344C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46C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55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5541"/>
  </w:style>
  <w:style w:type="paragraph" w:styleId="Footer">
    <w:name w:val="footer"/>
    <w:basedOn w:val="Normal"/>
    <w:link w:val="FooterChar"/>
    <w:uiPriority w:val="99"/>
    <w:unhideWhenUsed/>
    <w:rsid w:val="004C55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55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esmaeilpourdonya@gmail.com</dc:creator>
  <cp:keywords/>
  <dc:description/>
  <cp:lastModifiedBy>esmaeilpourdonya@gmail.com</cp:lastModifiedBy>
  <cp:revision>3</cp:revision>
  <dcterms:created xsi:type="dcterms:W3CDTF">2019-03-11T16:31:00Z</dcterms:created>
  <dcterms:modified xsi:type="dcterms:W3CDTF">2019-03-16T07:16:00Z</dcterms:modified>
</cp:coreProperties>
</file>