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BE0" w:rsidRPr="00A6399E" w:rsidRDefault="00385BE0" w:rsidP="00385BE0">
      <w:pPr>
        <w:autoSpaceDE w:val="0"/>
        <w:autoSpaceDN w:val="0"/>
        <w:adjustRightInd w:val="0"/>
        <w:snapToGrid w:val="0"/>
        <w:jc w:val="center"/>
        <w:rPr>
          <w:b/>
          <w:bCs/>
          <w:sz w:val="28"/>
          <w:szCs w:val="28"/>
        </w:rPr>
      </w:pPr>
      <w:r w:rsidRPr="00A6399E">
        <w:rPr>
          <w:b/>
          <w:bCs/>
          <w:sz w:val="28"/>
          <w:szCs w:val="28"/>
          <w:shd w:val="clear" w:color="auto" w:fill="FFFFFF"/>
        </w:rPr>
        <w:t>Binding Assessment of</w:t>
      </w:r>
      <w:r w:rsidRPr="00385BE0">
        <w:t xml:space="preserve"> </w:t>
      </w:r>
      <w:proofErr w:type="gramStart"/>
      <w:r w:rsidRPr="00385BE0">
        <w:rPr>
          <w:b/>
          <w:bCs/>
          <w:sz w:val="28"/>
          <w:szCs w:val="28"/>
          <w:shd w:val="clear" w:color="auto" w:fill="FFFFFF"/>
        </w:rPr>
        <w:t>Dysprosium</w:t>
      </w:r>
      <w:r w:rsidRPr="00A6399E">
        <w:rPr>
          <w:b/>
          <w:bCs/>
          <w:sz w:val="28"/>
          <w:szCs w:val="28"/>
        </w:rPr>
        <w:t>(</w:t>
      </w:r>
      <w:proofErr w:type="gramEnd"/>
      <w:r w:rsidRPr="00A6399E">
        <w:rPr>
          <w:b/>
          <w:bCs/>
          <w:sz w:val="28"/>
          <w:szCs w:val="28"/>
        </w:rPr>
        <w:t>III) Complex Containing 2,2'-Bipyridine</w:t>
      </w:r>
      <w:r w:rsidRPr="00A6399E">
        <w:rPr>
          <w:b/>
          <w:bCs/>
          <w:sz w:val="28"/>
          <w:szCs w:val="28"/>
          <w:shd w:val="clear" w:color="auto" w:fill="FFFFFF"/>
        </w:rPr>
        <w:t xml:space="preserve"> </w:t>
      </w:r>
      <w:r w:rsidRPr="001D0717">
        <w:rPr>
          <w:rFonts w:cstheme="majorBidi"/>
          <w:b/>
          <w:bCs/>
          <w:sz w:val="28"/>
          <w:szCs w:val="28"/>
        </w:rPr>
        <w:t>ligand</w:t>
      </w:r>
      <w:r w:rsidRPr="00A6399E">
        <w:rPr>
          <w:b/>
          <w:bCs/>
          <w:sz w:val="28"/>
          <w:szCs w:val="28"/>
          <w:shd w:val="clear" w:color="auto" w:fill="FFFFFF"/>
        </w:rPr>
        <w:t xml:space="preserve"> with </w:t>
      </w:r>
      <w:r w:rsidRPr="00A6399E">
        <w:rPr>
          <w:b/>
          <w:bCs/>
          <w:sz w:val="28"/>
          <w:szCs w:val="28"/>
        </w:rPr>
        <w:t>DNA</w:t>
      </w:r>
      <w:r w:rsidRPr="001D0717">
        <w:rPr>
          <w:rFonts w:cstheme="majorBidi"/>
          <w:b/>
          <w:bCs/>
          <w:sz w:val="28"/>
          <w:szCs w:val="28"/>
        </w:rPr>
        <w:t>, BSA</w:t>
      </w:r>
    </w:p>
    <w:p w:rsidR="00385BE0" w:rsidRPr="002D4F9C" w:rsidRDefault="00385BE0" w:rsidP="003301D7">
      <w:pPr>
        <w:autoSpaceDE w:val="0"/>
        <w:autoSpaceDN w:val="0"/>
        <w:adjustRightInd w:val="0"/>
        <w:snapToGrid w:val="0"/>
        <w:spacing w:after="0" w:line="480" w:lineRule="auto"/>
        <w:jc w:val="center"/>
        <w:rPr>
          <w:rFonts w:cstheme="majorBidi"/>
          <w:b/>
          <w:bCs/>
          <w:sz w:val="20"/>
          <w:szCs w:val="20"/>
        </w:rPr>
      </w:pPr>
    </w:p>
    <w:p w:rsidR="005651D8" w:rsidRPr="00980209" w:rsidRDefault="00D06466" w:rsidP="001730F3">
      <w:pPr>
        <w:spacing w:line="360" w:lineRule="auto"/>
        <w:jc w:val="center"/>
        <w:rPr>
          <w:rFonts w:ascii="Times New Roman" w:hAnsi="Times New Roman"/>
          <w:b/>
          <w:bCs/>
          <w:lang w:bidi="fa-IR"/>
        </w:rPr>
      </w:pPr>
      <w:r w:rsidRPr="00D06466">
        <w:rPr>
          <w:rFonts w:ascii="Times New Roman" w:hAnsi="Times New Roman"/>
          <w:b/>
          <w:bCs/>
          <w:u w:val="single"/>
          <w:lang w:bidi="fa-IR"/>
        </w:rPr>
        <w:t xml:space="preserve">Zahra </w:t>
      </w:r>
      <w:proofErr w:type="spellStart"/>
      <w:r w:rsidRPr="00D06466">
        <w:rPr>
          <w:rFonts w:ascii="Times New Roman" w:hAnsi="Times New Roman"/>
          <w:b/>
          <w:bCs/>
          <w:u w:val="single"/>
          <w:lang w:bidi="fa-IR"/>
        </w:rPr>
        <w:t>Aramesh-Boroujeni</w:t>
      </w:r>
      <w:proofErr w:type="spellEnd"/>
      <w:r w:rsidRPr="00D06466">
        <w:rPr>
          <w:rFonts w:ascii="Times New Roman" w:hAnsi="Times New Roman"/>
          <w:b/>
          <w:bCs/>
          <w:lang w:bidi="fa-IR"/>
        </w:rPr>
        <w:t xml:space="preserve">, </w:t>
      </w:r>
      <w:proofErr w:type="spellStart"/>
      <w:r w:rsidRPr="00D06466">
        <w:rPr>
          <w:rFonts w:ascii="Times New Roman" w:hAnsi="Times New Roman"/>
          <w:b/>
          <w:bCs/>
          <w:lang w:bidi="fa-IR"/>
        </w:rPr>
        <w:t>Abdol-Khalegh</w:t>
      </w:r>
      <w:proofErr w:type="spellEnd"/>
      <w:r w:rsidRPr="00D06466">
        <w:rPr>
          <w:rFonts w:ascii="Times New Roman" w:hAnsi="Times New Roman"/>
          <w:b/>
          <w:bCs/>
          <w:lang w:bidi="fa-IR"/>
        </w:rPr>
        <w:t xml:space="preserve"> </w:t>
      </w:r>
      <w:proofErr w:type="spellStart"/>
      <w:r w:rsidRPr="00D06466">
        <w:rPr>
          <w:rFonts w:ascii="Times New Roman" w:hAnsi="Times New Roman"/>
          <w:b/>
          <w:bCs/>
          <w:lang w:bidi="fa-IR"/>
        </w:rPr>
        <w:t>Bordbar</w:t>
      </w:r>
      <w:proofErr w:type="spellEnd"/>
      <w:r w:rsidR="002F28F2" w:rsidRPr="00F71A63">
        <w:rPr>
          <w:rFonts w:ascii="Times New Roman" w:hAnsi="Times New Roman"/>
          <w:b/>
          <w:bCs/>
          <w:vertAlign w:val="superscript"/>
          <w:lang w:bidi="fa-IR"/>
        </w:rPr>
        <w:t>*</w:t>
      </w:r>
      <w:r w:rsidRPr="00D06466">
        <w:rPr>
          <w:rFonts w:ascii="Times New Roman" w:hAnsi="Times New Roman"/>
          <w:b/>
          <w:bCs/>
          <w:lang w:bidi="fa-IR"/>
        </w:rPr>
        <w:t xml:space="preserve"> </w:t>
      </w:r>
    </w:p>
    <w:p w:rsidR="00D06466" w:rsidRPr="00D06466" w:rsidRDefault="00D06466" w:rsidP="00D06466">
      <w:pPr>
        <w:spacing w:line="360" w:lineRule="auto"/>
        <w:jc w:val="center"/>
        <w:rPr>
          <w:rFonts w:ascii="Times New Roman" w:hAnsi="Times New Roman"/>
          <w:lang w:bidi="fa-IR"/>
        </w:rPr>
      </w:pPr>
      <w:r w:rsidRPr="00D06466">
        <w:rPr>
          <w:rFonts w:ascii="Times New Roman" w:hAnsi="Times New Roman"/>
          <w:lang w:bidi="fa-IR"/>
        </w:rPr>
        <w:t xml:space="preserve">Department of Chemistry, University of Isfahan, Isfahan 81746-73441, Iran </w:t>
      </w:r>
    </w:p>
    <w:p w:rsidR="002D4F9C" w:rsidRPr="00944294" w:rsidRDefault="002F28F2" w:rsidP="00944294">
      <w:pPr>
        <w:spacing w:line="360" w:lineRule="auto"/>
        <w:jc w:val="center"/>
        <w:rPr>
          <w:rFonts w:ascii="Times New Roman" w:hAnsi="Times New Roman"/>
          <w:color w:val="0563C1" w:themeColor="hyperlink"/>
          <w:u w:val="single"/>
          <w:lang w:bidi="fa-IR"/>
        </w:rPr>
      </w:pPr>
      <w:r w:rsidRPr="00F71A63">
        <w:rPr>
          <w:rFonts w:ascii="Times New Roman" w:hAnsi="Times New Roman"/>
          <w:b/>
          <w:bCs/>
          <w:vertAlign w:val="superscript"/>
          <w:lang w:bidi="fa-IR"/>
        </w:rPr>
        <w:t>*</w:t>
      </w:r>
      <w:r>
        <w:rPr>
          <w:rFonts w:ascii="Times New Roman" w:hAnsi="Times New Roman"/>
          <w:b/>
          <w:bCs/>
          <w:vertAlign w:val="superscript"/>
          <w:lang w:bidi="fa-IR"/>
        </w:rPr>
        <w:t xml:space="preserve"> </w:t>
      </w:r>
      <w:r w:rsidRPr="00F71A63">
        <w:rPr>
          <w:rFonts w:ascii="Times New Roman" w:hAnsi="Times New Roman"/>
          <w:lang w:bidi="fa-IR"/>
        </w:rPr>
        <w:t xml:space="preserve">E-mail address: </w:t>
      </w:r>
      <w:hyperlink r:id="rId6" w:history="1">
        <w:r w:rsidRPr="002E3A1E">
          <w:rPr>
            <w:rStyle w:val="Hyperlink"/>
            <w:rFonts w:ascii="Times New Roman" w:hAnsi="Times New Roman"/>
            <w:lang w:bidi="fa-IR"/>
          </w:rPr>
          <w:t>akbordbar@gmail.com</w:t>
        </w:r>
      </w:hyperlink>
      <w:r w:rsidR="000A6A5F">
        <w:rPr>
          <w:rStyle w:val="Hyperlink"/>
          <w:rFonts w:ascii="Times New Roman" w:hAnsi="Times New Roman"/>
          <w:lang w:bidi="fa-IR"/>
        </w:rPr>
        <w:t>, z.aramesh890@gmail.com</w:t>
      </w:r>
    </w:p>
    <w:p w:rsidR="00EE70E3" w:rsidRPr="00980209" w:rsidRDefault="005651D8" w:rsidP="00944294">
      <w:pPr>
        <w:spacing w:before="240" w:line="360" w:lineRule="auto"/>
        <w:jc w:val="center"/>
        <w:rPr>
          <w:rFonts w:ascii="Times New Roman" w:hAnsi="Times New Roman"/>
          <w:b/>
          <w:bCs/>
          <w:sz w:val="28"/>
          <w:szCs w:val="28"/>
          <w:lang w:bidi="fa-IR"/>
        </w:rPr>
      </w:pPr>
      <w:r w:rsidRPr="00980209">
        <w:rPr>
          <w:rFonts w:ascii="Times New Roman" w:hAnsi="Times New Roman"/>
          <w:b/>
          <w:bCs/>
          <w:sz w:val="28"/>
          <w:szCs w:val="28"/>
          <w:lang w:bidi="fa-IR"/>
        </w:rPr>
        <w:t xml:space="preserve">ABSTRACT </w:t>
      </w:r>
    </w:p>
    <w:p w:rsidR="002D4F9C" w:rsidRPr="00944294" w:rsidRDefault="002D4F9C" w:rsidP="00944294">
      <w:pPr>
        <w:spacing w:line="480" w:lineRule="auto"/>
        <w:jc w:val="both"/>
        <w:rPr>
          <w:rFonts w:cstheme="majorBidi"/>
        </w:rPr>
      </w:pPr>
      <w:r w:rsidRPr="00C63DF6">
        <w:rPr>
          <w:rFonts w:cstheme="majorBidi"/>
        </w:rPr>
        <w:t xml:space="preserve">The binding interaction of </w:t>
      </w:r>
      <w:r w:rsidRPr="002D4F9C">
        <w:rPr>
          <w:rFonts w:cstheme="majorBidi"/>
        </w:rPr>
        <w:t>dysprosium</w:t>
      </w:r>
      <w:r w:rsidRPr="00C63DF6">
        <w:rPr>
          <w:rFonts w:cstheme="majorBidi"/>
        </w:rPr>
        <w:t xml:space="preserve">(III) complex, </w:t>
      </w:r>
      <w:r w:rsidRPr="003301D7">
        <w:rPr>
          <w:rStyle w:val="fontstyle01"/>
          <w:rFonts w:asciiTheme="majorBidi" w:hAnsiTheme="majorBidi" w:cstheme="majorBidi"/>
          <w:b w:val="0"/>
          <w:bCs w:val="0"/>
        </w:rPr>
        <w:t>[</w:t>
      </w:r>
      <w:proofErr w:type="spellStart"/>
      <w:r>
        <w:rPr>
          <w:rStyle w:val="fontstyle01"/>
          <w:rFonts w:asciiTheme="majorBidi" w:hAnsiTheme="majorBidi" w:cstheme="majorBidi"/>
          <w:b w:val="0"/>
          <w:bCs w:val="0"/>
        </w:rPr>
        <w:t>Dy</w:t>
      </w:r>
      <w:proofErr w:type="spellEnd"/>
      <w:r w:rsidRPr="003301D7">
        <w:rPr>
          <w:rStyle w:val="fontstyle01"/>
          <w:rFonts w:asciiTheme="majorBidi" w:hAnsiTheme="majorBidi" w:cstheme="majorBidi"/>
          <w:b w:val="0"/>
          <w:bCs w:val="0"/>
        </w:rPr>
        <w:t>(</w:t>
      </w:r>
      <w:proofErr w:type="spellStart"/>
      <w:r w:rsidRPr="003301D7">
        <w:rPr>
          <w:rStyle w:val="fontstyle01"/>
          <w:rFonts w:asciiTheme="majorBidi" w:hAnsiTheme="majorBidi" w:cstheme="majorBidi"/>
          <w:b w:val="0"/>
          <w:bCs w:val="0"/>
        </w:rPr>
        <w:t>bpy</w:t>
      </w:r>
      <w:proofErr w:type="spellEnd"/>
      <w:r w:rsidRPr="003301D7">
        <w:rPr>
          <w:rStyle w:val="fontstyle01"/>
          <w:rFonts w:asciiTheme="majorBidi" w:hAnsiTheme="majorBidi" w:cstheme="majorBidi"/>
          <w:b w:val="0"/>
          <w:bCs w:val="0"/>
        </w:rPr>
        <w:t>)</w:t>
      </w:r>
      <w:r w:rsidRPr="003301D7">
        <w:rPr>
          <w:rStyle w:val="fontstyle01"/>
          <w:rFonts w:asciiTheme="majorBidi" w:hAnsiTheme="majorBidi" w:cstheme="majorBidi"/>
          <w:b w:val="0"/>
          <w:bCs w:val="0"/>
          <w:vertAlign w:val="subscript"/>
        </w:rPr>
        <w:t>2</w:t>
      </w:r>
      <w:r w:rsidRPr="003301D7">
        <w:rPr>
          <w:rStyle w:val="fontstyle01"/>
          <w:rFonts w:asciiTheme="majorBidi" w:hAnsiTheme="majorBidi" w:cstheme="majorBidi"/>
          <w:b w:val="0"/>
          <w:bCs w:val="0"/>
        </w:rPr>
        <w:t>Cl</w:t>
      </w:r>
      <w:r w:rsidRPr="003301D7">
        <w:rPr>
          <w:rStyle w:val="fontstyle01"/>
          <w:rFonts w:asciiTheme="majorBidi" w:hAnsiTheme="majorBidi" w:cstheme="majorBidi"/>
          <w:b w:val="0"/>
          <w:bCs w:val="0"/>
          <w:vertAlign w:val="subscript"/>
        </w:rPr>
        <w:t>3</w:t>
      </w:r>
      <w:r w:rsidRPr="003301D7">
        <w:rPr>
          <w:rStyle w:val="fontstyle01"/>
          <w:rFonts w:asciiTheme="majorBidi" w:hAnsiTheme="majorBidi" w:cstheme="majorBidi"/>
          <w:b w:val="0"/>
          <w:bCs w:val="0"/>
        </w:rPr>
        <w:t>.OH</w:t>
      </w:r>
      <w:r w:rsidRPr="003301D7">
        <w:rPr>
          <w:rStyle w:val="fontstyle01"/>
          <w:rFonts w:asciiTheme="majorBidi" w:hAnsiTheme="majorBidi" w:cstheme="majorBidi"/>
          <w:b w:val="0"/>
          <w:bCs w:val="0"/>
          <w:vertAlign w:val="subscript"/>
        </w:rPr>
        <w:t>2</w:t>
      </w:r>
      <w:r w:rsidRPr="003301D7">
        <w:rPr>
          <w:rStyle w:val="fontstyle01"/>
          <w:rFonts w:asciiTheme="majorBidi" w:hAnsiTheme="majorBidi" w:cstheme="majorBidi"/>
          <w:b w:val="0"/>
          <w:bCs w:val="0"/>
        </w:rPr>
        <w:t>]</w:t>
      </w:r>
      <w:r w:rsidRPr="003301D7">
        <w:rPr>
          <w:rFonts w:cstheme="majorBidi"/>
          <w:b/>
          <w:bCs/>
        </w:rPr>
        <w:t xml:space="preserve"> </w:t>
      </w:r>
      <w:r w:rsidRPr="00C63DF6">
        <w:rPr>
          <w:rFonts w:cstheme="majorBidi"/>
        </w:rPr>
        <w:t xml:space="preserve">where </w:t>
      </w:r>
      <w:proofErr w:type="spellStart"/>
      <w:r w:rsidRPr="003301D7">
        <w:rPr>
          <w:rStyle w:val="fontstyle01"/>
          <w:rFonts w:asciiTheme="majorBidi" w:hAnsiTheme="majorBidi" w:cstheme="majorBidi"/>
          <w:b w:val="0"/>
          <w:bCs w:val="0"/>
        </w:rPr>
        <w:t>bpy</w:t>
      </w:r>
      <w:proofErr w:type="spellEnd"/>
      <w:r w:rsidRPr="003301D7">
        <w:rPr>
          <w:rStyle w:val="fontstyle01"/>
          <w:rFonts w:asciiTheme="majorBidi" w:hAnsiTheme="majorBidi" w:cstheme="majorBidi"/>
          <w:b w:val="0"/>
          <w:bCs w:val="0"/>
        </w:rPr>
        <w:t xml:space="preserve"> is </w:t>
      </w:r>
      <w:r w:rsidRPr="001928A5">
        <w:rPr>
          <w:rFonts w:cstheme="majorBidi"/>
        </w:rPr>
        <w:t>2,2'-bipyridine</w:t>
      </w:r>
      <w:r w:rsidRPr="00C63DF6">
        <w:rPr>
          <w:rFonts w:cstheme="majorBidi"/>
        </w:rPr>
        <w:t>, with FS-DNA</w:t>
      </w:r>
      <w:r>
        <w:rPr>
          <w:rFonts w:cstheme="majorBidi"/>
        </w:rPr>
        <w:t xml:space="preserve"> and BSA</w:t>
      </w:r>
      <w:r w:rsidRPr="00C63DF6">
        <w:rPr>
          <w:rFonts w:cstheme="majorBidi"/>
        </w:rPr>
        <w:t xml:space="preserve"> in physiological buffer is explored by different instrumental methods including UV–Vis spectrophotometry, fluorescence spectroscopy, circular dichroism</w:t>
      </w:r>
      <w:r w:rsidR="00A47A86">
        <w:rPr>
          <w:rFonts w:cstheme="majorBidi"/>
        </w:rPr>
        <w:t xml:space="preserve"> and</w:t>
      </w:r>
      <w:r w:rsidRPr="00C63DF6">
        <w:rPr>
          <w:rFonts w:cstheme="majorBidi"/>
        </w:rPr>
        <w:t xml:space="preserve"> viscosity measurement. The Stern-</w:t>
      </w:r>
      <w:proofErr w:type="spellStart"/>
      <w:r w:rsidRPr="00C63DF6">
        <w:rPr>
          <w:rFonts w:cstheme="majorBidi"/>
        </w:rPr>
        <w:t>Volmer</w:t>
      </w:r>
      <w:proofErr w:type="spellEnd"/>
      <w:r w:rsidRPr="00C63DF6">
        <w:rPr>
          <w:rFonts w:cstheme="majorBidi"/>
        </w:rPr>
        <w:t xml:space="preserve"> quenching constants (</w:t>
      </w:r>
      <w:proofErr w:type="spellStart"/>
      <w:r w:rsidRPr="00C63DF6">
        <w:rPr>
          <w:rFonts w:cstheme="majorBidi"/>
        </w:rPr>
        <w:t>K</w:t>
      </w:r>
      <w:r w:rsidRPr="00C63DF6">
        <w:rPr>
          <w:rFonts w:cstheme="majorBidi"/>
          <w:vertAlign w:val="subscript"/>
        </w:rPr>
        <w:t>sv</w:t>
      </w:r>
      <w:proofErr w:type="spellEnd"/>
      <w:r w:rsidRPr="00C63DF6">
        <w:rPr>
          <w:rFonts w:cstheme="majorBidi"/>
        </w:rPr>
        <w:t>), DNA binding constants (K</w:t>
      </w:r>
      <w:r w:rsidRPr="00C63DF6">
        <w:rPr>
          <w:rFonts w:cstheme="majorBidi"/>
          <w:vertAlign w:val="subscript"/>
        </w:rPr>
        <w:t>b</w:t>
      </w:r>
      <w:r w:rsidRPr="00C63DF6">
        <w:rPr>
          <w:rFonts w:cstheme="majorBidi"/>
        </w:rPr>
        <w:t>) and number of binding sites of the complex with FS-DNA</w:t>
      </w:r>
      <w:r>
        <w:rPr>
          <w:rFonts w:cstheme="majorBidi"/>
        </w:rPr>
        <w:t xml:space="preserve"> and BSA</w:t>
      </w:r>
      <w:r w:rsidRPr="00C63DF6">
        <w:rPr>
          <w:rFonts w:cstheme="majorBidi"/>
        </w:rPr>
        <w:t xml:space="preserve"> are obtained at </w:t>
      </w:r>
      <w:r>
        <w:rPr>
          <w:rFonts w:cstheme="majorBidi"/>
        </w:rPr>
        <w:t>four</w:t>
      </w:r>
      <w:r w:rsidRPr="00C63DF6">
        <w:rPr>
          <w:rFonts w:cstheme="majorBidi"/>
        </w:rPr>
        <w:t xml:space="preserve"> different temperatures, and the thermodynamic parameters are calculated according to </w:t>
      </w:r>
      <w:proofErr w:type="spellStart"/>
      <w:r w:rsidR="00A47A86">
        <w:rPr>
          <w:rFonts w:cstheme="majorBidi"/>
        </w:rPr>
        <w:t>v</w:t>
      </w:r>
      <w:r w:rsidRPr="00C63DF6">
        <w:rPr>
          <w:rFonts w:cstheme="majorBidi"/>
        </w:rPr>
        <w:t>an’t</w:t>
      </w:r>
      <w:proofErr w:type="spellEnd"/>
      <w:r w:rsidRPr="00C63DF6">
        <w:rPr>
          <w:rFonts w:cstheme="majorBidi"/>
        </w:rPr>
        <w:t xml:space="preserve"> Hoff equation as well. The results of absorption, ionic strength, iodide ion quenching, E</w:t>
      </w:r>
      <w:r w:rsidR="00A47A86">
        <w:rPr>
          <w:rFonts w:cstheme="majorBidi"/>
        </w:rPr>
        <w:t>t</w:t>
      </w:r>
      <w:r w:rsidRPr="00C63DF6">
        <w:rPr>
          <w:rFonts w:cstheme="majorBidi"/>
        </w:rPr>
        <w:t>B</w:t>
      </w:r>
      <w:r w:rsidR="00A47A86">
        <w:rPr>
          <w:rFonts w:cstheme="majorBidi"/>
        </w:rPr>
        <w:t>r</w:t>
      </w:r>
      <w:r w:rsidRPr="00C63DF6">
        <w:rPr>
          <w:rFonts w:cstheme="majorBidi"/>
        </w:rPr>
        <w:t xml:space="preserve"> quenching, and positive ΔH</w:t>
      </w:r>
      <w:r w:rsidRPr="00C63DF6">
        <w:rPr>
          <w:rFonts w:eastAsia="Times New Roman" w:cstheme="majorBidi"/>
        </w:rPr>
        <w:t>˚</w:t>
      </w:r>
      <w:r w:rsidRPr="00C63DF6">
        <w:rPr>
          <w:rFonts w:cstheme="majorBidi"/>
        </w:rPr>
        <w:t xml:space="preserve"> and ΔS</w:t>
      </w:r>
      <w:r w:rsidRPr="00C63DF6">
        <w:rPr>
          <w:rFonts w:eastAsia="Times New Roman" w:cstheme="majorBidi"/>
        </w:rPr>
        <w:t>˚</w:t>
      </w:r>
      <w:r w:rsidRPr="00C63DF6">
        <w:rPr>
          <w:rFonts w:cstheme="majorBidi"/>
        </w:rPr>
        <w:t xml:space="preserve"> suggest that hydrophobic groove binding play a predominant role in the binding of mentioned complex to FS-DNA</w:t>
      </w:r>
      <w:r w:rsidR="00944294">
        <w:rPr>
          <w:rFonts w:cstheme="majorBidi"/>
        </w:rPr>
        <w:t>.</w:t>
      </w:r>
      <w:r w:rsidRPr="002D4F9C">
        <w:rPr>
          <w:rFonts w:cstheme="majorBidi"/>
        </w:rPr>
        <w:t xml:space="preserve"> </w:t>
      </w:r>
      <w:r w:rsidRPr="001928A5">
        <w:rPr>
          <w:rFonts w:cstheme="majorBidi"/>
        </w:rPr>
        <w:t xml:space="preserve">Also, </w:t>
      </w:r>
      <w:r w:rsidRPr="003301D7">
        <w:rPr>
          <w:rStyle w:val="fontstyle01"/>
          <w:rFonts w:asciiTheme="majorBidi" w:hAnsiTheme="majorBidi" w:cstheme="majorBidi"/>
          <w:b w:val="0"/>
          <w:bCs w:val="0"/>
        </w:rPr>
        <w:t>molecular docking study indicated that this complex bind to</w:t>
      </w:r>
      <w:r w:rsidRPr="001928A5">
        <w:rPr>
          <w:rStyle w:val="fontstyle01"/>
          <w:rFonts w:asciiTheme="majorBidi" w:hAnsiTheme="majorBidi" w:cstheme="majorBidi"/>
        </w:rPr>
        <w:t xml:space="preserve"> </w:t>
      </w:r>
      <w:r w:rsidRPr="001928A5">
        <w:rPr>
          <w:rFonts w:cstheme="majorBidi"/>
        </w:rPr>
        <w:t xml:space="preserve">the minor groove of DNA and to polar and </w:t>
      </w:r>
      <w:proofErr w:type="spellStart"/>
      <w:r w:rsidRPr="001928A5">
        <w:rPr>
          <w:rFonts w:cstheme="majorBidi"/>
        </w:rPr>
        <w:t>apolar</w:t>
      </w:r>
      <w:proofErr w:type="spellEnd"/>
      <w:r w:rsidRPr="001928A5">
        <w:rPr>
          <w:rFonts w:cstheme="majorBidi"/>
        </w:rPr>
        <w:t xml:space="preserve"> </w:t>
      </w:r>
      <w:r w:rsidRPr="003301D7">
        <w:rPr>
          <w:rStyle w:val="fontstyle01"/>
          <w:rFonts w:asciiTheme="majorBidi" w:hAnsiTheme="majorBidi" w:cstheme="majorBidi"/>
          <w:b w:val="0"/>
          <w:bCs w:val="0"/>
        </w:rPr>
        <w:t>residues located in the subdomain IB of BSA (site 3)</w:t>
      </w:r>
      <w:r>
        <w:rPr>
          <w:rFonts w:cstheme="majorBidi"/>
          <w:shd w:val="clear" w:color="auto" w:fill="FFFFFF"/>
        </w:rPr>
        <w:t>.</w:t>
      </w:r>
      <w:r w:rsidRPr="00C63DF6">
        <w:rPr>
          <w:rFonts w:cstheme="majorBidi"/>
        </w:rPr>
        <w:t xml:space="preserve"> </w:t>
      </w:r>
      <w:r w:rsidR="00944294" w:rsidRPr="001928A5">
        <w:rPr>
          <w:rFonts w:cstheme="majorBidi"/>
        </w:rPr>
        <w:t xml:space="preserve">From both experimental and docking results, the value of binding constant existing the remarkably high affinity of </w:t>
      </w:r>
      <w:proofErr w:type="spellStart"/>
      <w:proofErr w:type="gramStart"/>
      <w:r w:rsidR="00944294">
        <w:rPr>
          <w:rFonts w:cstheme="majorBidi"/>
        </w:rPr>
        <w:t>Dy</w:t>
      </w:r>
      <w:proofErr w:type="spellEnd"/>
      <w:r w:rsidR="00944294">
        <w:rPr>
          <w:rFonts w:cstheme="majorBidi"/>
        </w:rPr>
        <w:t>(</w:t>
      </w:r>
      <w:proofErr w:type="gramEnd"/>
      <w:r w:rsidR="00944294">
        <w:rPr>
          <w:rFonts w:cstheme="majorBidi"/>
        </w:rPr>
        <w:t>III)</w:t>
      </w:r>
      <w:r w:rsidR="00944294" w:rsidRPr="001928A5">
        <w:rPr>
          <w:rFonts w:cstheme="majorBidi"/>
        </w:rPr>
        <w:t xml:space="preserve"> complex</w:t>
      </w:r>
      <w:r w:rsidR="00944294" w:rsidRPr="001928A5">
        <w:rPr>
          <w:rFonts w:cstheme="majorBidi"/>
          <w:noProof/>
          <w:lang w:val="en-GB" w:eastAsia="en-GB"/>
        </w:rPr>
        <w:t xml:space="preserve"> </w:t>
      </w:r>
      <w:r w:rsidR="00944294" w:rsidRPr="001928A5">
        <w:rPr>
          <w:rFonts w:cstheme="majorBidi"/>
        </w:rPr>
        <w:t>to DNA as well as BSA.</w:t>
      </w:r>
      <w:r w:rsidR="00944294">
        <w:rPr>
          <w:rFonts w:cstheme="majorBidi"/>
        </w:rPr>
        <w:t xml:space="preserve"> </w:t>
      </w:r>
      <w:r w:rsidR="00944294" w:rsidRPr="003301D7">
        <w:rPr>
          <w:rStyle w:val="fontstyle01"/>
          <w:rFonts w:asciiTheme="majorBidi" w:hAnsiTheme="majorBidi" w:cstheme="majorBidi"/>
          <w:b w:val="0"/>
          <w:bCs w:val="0"/>
        </w:rPr>
        <w:t>The</w:t>
      </w:r>
      <w:r w:rsidR="00944294" w:rsidRPr="003301D7">
        <w:rPr>
          <w:rFonts w:cstheme="majorBidi"/>
          <w:b/>
          <w:bCs/>
        </w:rPr>
        <w:t xml:space="preserve"> </w:t>
      </w:r>
      <w:r w:rsidR="00944294" w:rsidRPr="003301D7">
        <w:rPr>
          <w:rStyle w:val="fontstyle01"/>
          <w:rFonts w:asciiTheme="majorBidi" w:hAnsiTheme="majorBidi" w:cstheme="majorBidi"/>
          <w:b w:val="0"/>
          <w:bCs w:val="0"/>
        </w:rPr>
        <w:t>molecular docking results kept in good</w:t>
      </w:r>
      <w:r w:rsidR="00944294" w:rsidRPr="001928A5">
        <w:rPr>
          <w:rStyle w:val="fontstyle01"/>
          <w:rFonts w:asciiTheme="majorBidi" w:hAnsiTheme="majorBidi" w:cstheme="majorBidi"/>
        </w:rPr>
        <w:t xml:space="preserve"> </w:t>
      </w:r>
      <w:r w:rsidR="00944294" w:rsidRPr="001928A5">
        <w:rPr>
          <w:rFonts w:cstheme="majorBidi"/>
        </w:rPr>
        <w:t>agreement</w:t>
      </w:r>
      <w:r w:rsidR="00944294" w:rsidRPr="001928A5">
        <w:rPr>
          <w:rStyle w:val="fontstyle01"/>
          <w:rFonts w:asciiTheme="majorBidi" w:hAnsiTheme="majorBidi" w:cstheme="majorBidi"/>
        </w:rPr>
        <w:t xml:space="preserve"> </w:t>
      </w:r>
      <w:r w:rsidR="00944294" w:rsidRPr="003301D7">
        <w:rPr>
          <w:rStyle w:val="fontstyle01"/>
          <w:rFonts w:asciiTheme="majorBidi" w:hAnsiTheme="majorBidi" w:cstheme="majorBidi"/>
          <w:b w:val="0"/>
          <w:bCs w:val="0"/>
        </w:rPr>
        <w:t>with experimental results.</w:t>
      </w:r>
      <w:r w:rsidR="00944294">
        <w:rPr>
          <w:rStyle w:val="fontstyle01"/>
          <w:rFonts w:asciiTheme="majorBidi" w:hAnsiTheme="majorBidi" w:cstheme="majorBidi"/>
          <w:b w:val="0"/>
          <w:bCs w:val="0"/>
        </w:rPr>
        <w:t xml:space="preserve"> </w:t>
      </w:r>
      <w:r w:rsidRPr="00C63DF6">
        <w:rPr>
          <w:rFonts w:cstheme="majorBidi"/>
        </w:rPr>
        <w:t xml:space="preserve">Moreover, </w:t>
      </w:r>
      <w:proofErr w:type="spellStart"/>
      <w:proofErr w:type="gramStart"/>
      <w:r>
        <w:rPr>
          <w:rFonts w:cstheme="majorBidi"/>
        </w:rPr>
        <w:t>Dy</w:t>
      </w:r>
      <w:proofErr w:type="spellEnd"/>
      <w:r w:rsidRPr="00C63DF6">
        <w:rPr>
          <w:rFonts w:cstheme="majorBidi"/>
        </w:rPr>
        <w:t>(</w:t>
      </w:r>
      <w:proofErr w:type="gramEnd"/>
      <w:r w:rsidRPr="00C63DF6">
        <w:rPr>
          <w:rFonts w:cstheme="majorBidi"/>
        </w:rPr>
        <w:t>III) complex have been simultaneously screened for its antimicrobial activities.</w:t>
      </w:r>
    </w:p>
    <w:p w:rsidR="00EE70E3" w:rsidRPr="002D4F9C" w:rsidRDefault="001928A5" w:rsidP="00FD0494">
      <w:pPr>
        <w:spacing w:line="480" w:lineRule="auto"/>
        <w:jc w:val="both"/>
        <w:rPr>
          <w:rFonts w:eastAsia="Times New Roman" w:cstheme="majorBidi"/>
          <w:color w:val="000000"/>
        </w:rPr>
      </w:pPr>
      <w:r w:rsidRPr="003301D7">
        <w:rPr>
          <w:rFonts w:cstheme="majorBidi"/>
          <w:b/>
          <w:bCs/>
        </w:rPr>
        <w:t>Keywords:</w:t>
      </w:r>
      <w:r w:rsidRPr="001928A5">
        <w:rPr>
          <w:rFonts w:cstheme="majorBidi"/>
        </w:rPr>
        <w:t xml:space="preserve"> </w:t>
      </w:r>
      <w:r w:rsidR="00FD0494">
        <w:rPr>
          <w:rFonts w:cstheme="majorBidi"/>
        </w:rPr>
        <w:t>D</w:t>
      </w:r>
      <w:bookmarkStart w:id="0" w:name="_GoBack"/>
      <w:bookmarkEnd w:id="0"/>
      <w:r w:rsidR="00FD0494" w:rsidRPr="002D4F9C">
        <w:rPr>
          <w:rFonts w:cstheme="majorBidi"/>
        </w:rPr>
        <w:t>ysprosium</w:t>
      </w:r>
      <w:r w:rsidR="00FD0494" w:rsidRPr="00C63DF6">
        <w:rPr>
          <w:rFonts w:cstheme="majorBidi"/>
        </w:rPr>
        <w:t xml:space="preserve">(III) </w:t>
      </w:r>
      <w:r w:rsidRPr="001928A5">
        <w:rPr>
          <w:rFonts w:cstheme="majorBidi"/>
        </w:rPr>
        <w:t xml:space="preserve">complex, </w:t>
      </w:r>
      <w:r w:rsidR="002D4F9C">
        <w:rPr>
          <w:rFonts w:cstheme="majorBidi"/>
        </w:rPr>
        <w:t>FS</w:t>
      </w:r>
      <w:r w:rsidRPr="001928A5">
        <w:rPr>
          <w:rFonts w:cstheme="majorBidi"/>
        </w:rPr>
        <w:t xml:space="preserve">-DNA, </w:t>
      </w:r>
      <w:r w:rsidRPr="003301D7">
        <w:rPr>
          <w:rStyle w:val="fontstyle01"/>
          <w:rFonts w:asciiTheme="majorBidi" w:hAnsiTheme="majorBidi" w:cstheme="majorBidi"/>
          <w:b w:val="0"/>
          <w:bCs w:val="0"/>
        </w:rPr>
        <w:t>Bovine</w:t>
      </w:r>
      <w:r w:rsidRPr="001928A5">
        <w:rPr>
          <w:rFonts w:cstheme="majorBidi"/>
        </w:rPr>
        <w:t xml:space="preserve"> serum albumin, Binding</w:t>
      </w:r>
      <w:r w:rsidR="003301D7">
        <w:rPr>
          <w:rFonts w:cstheme="majorBidi"/>
        </w:rPr>
        <w:t xml:space="preserve"> interaction, Molecular docking</w:t>
      </w:r>
    </w:p>
    <w:sectPr w:rsidR="00EE70E3" w:rsidRPr="002D4F9C" w:rsidSect="009127CD">
      <w:headerReference w:type="default" r:id="rId7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599" w:rsidRDefault="00672599" w:rsidP="00A1423E">
      <w:pPr>
        <w:spacing w:after="0" w:line="240" w:lineRule="auto"/>
      </w:pPr>
      <w:r>
        <w:separator/>
      </w:r>
    </w:p>
  </w:endnote>
  <w:endnote w:type="continuationSeparator" w:id="0">
    <w:p w:rsidR="00672599" w:rsidRDefault="00672599" w:rsidP="00A1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599" w:rsidRDefault="00672599" w:rsidP="00A1423E">
      <w:pPr>
        <w:spacing w:after="0" w:line="240" w:lineRule="auto"/>
      </w:pPr>
      <w:r>
        <w:separator/>
      </w:r>
    </w:p>
  </w:footnote>
  <w:footnote w:type="continuationSeparator" w:id="0">
    <w:p w:rsidR="00672599" w:rsidRDefault="00672599" w:rsidP="00A14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23E" w:rsidRDefault="009127CD">
    <w:pPr>
      <w:pStyle w:val="Header"/>
    </w:pPr>
    <w:r>
      <w:t xml:space="preserve">                     </w:t>
    </w:r>
    <w:r w:rsidR="00A64D84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662940</wp:posOffset>
          </wp:positionH>
          <wp:positionV relativeFrom="paragraph">
            <wp:posOffset>0</wp:posOffset>
          </wp:positionV>
          <wp:extent cx="830580" cy="548640"/>
          <wp:effectExtent l="0" t="0" r="7620" b="3810"/>
          <wp:wrapNone/>
          <wp:docPr id="1" name="Picture 2" descr="C:\Users\S.A\Desktop\r_1_18112607113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.A\Desktop\r_1_18112607113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05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E47"/>
    <w:rsid w:val="00001357"/>
    <w:rsid w:val="000353E8"/>
    <w:rsid w:val="000663AC"/>
    <w:rsid w:val="000A6A5F"/>
    <w:rsid w:val="000B54B2"/>
    <w:rsid w:val="000F33D3"/>
    <w:rsid w:val="00122DAD"/>
    <w:rsid w:val="001730F3"/>
    <w:rsid w:val="001928A5"/>
    <w:rsid w:val="001D2E47"/>
    <w:rsid w:val="0025294D"/>
    <w:rsid w:val="002A2784"/>
    <w:rsid w:val="002D4F9C"/>
    <w:rsid w:val="002F28F2"/>
    <w:rsid w:val="003301D7"/>
    <w:rsid w:val="00354B1D"/>
    <w:rsid w:val="003623A7"/>
    <w:rsid w:val="00385BE0"/>
    <w:rsid w:val="00410D79"/>
    <w:rsid w:val="00411C7E"/>
    <w:rsid w:val="00426ADF"/>
    <w:rsid w:val="00482DD9"/>
    <w:rsid w:val="005651D8"/>
    <w:rsid w:val="00672599"/>
    <w:rsid w:val="00730C75"/>
    <w:rsid w:val="00765F6C"/>
    <w:rsid w:val="008617E5"/>
    <w:rsid w:val="00883C99"/>
    <w:rsid w:val="008D1C6C"/>
    <w:rsid w:val="009127CD"/>
    <w:rsid w:val="00944294"/>
    <w:rsid w:val="00980209"/>
    <w:rsid w:val="00A1423E"/>
    <w:rsid w:val="00A47A86"/>
    <w:rsid w:val="00A542FC"/>
    <w:rsid w:val="00A64D84"/>
    <w:rsid w:val="00B6390D"/>
    <w:rsid w:val="00BD6C32"/>
    <w:rsid w:val="00C50C61"/>
    <w:rsid w:val="00D06466"/>
    <w:rsid w:val="00D3355E"/>
    <w:rsid w:val="00D44272"/>
    <w:rsid w:val="00DD46DF"/>
    <w:rsid w:val="00E957CA"/>
    <w:rsid w:val="00EE70E3"/>
    <w:rsid w:val="00F77201"/>
    <w:rsid w:val="00FB40E5"/>
    <w:rsid w:val="00FC5320"/>
    <w:rsid w:val="00FD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CAC925-B580-4B2B-894E-9C374DEE1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8A5"/>
    <w:pPr>
      <w:spacing w:after="160" w:line="259" w:lineRule="auto"/>
    </w:pPr>
    <w:rPr>
      <w:rFonts w:asciiTheme="majorBidi" w:hAnsiTheme="majorBid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42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23E"/>
  </w:style>
  <w:style w:type="paragraph" w:styleId="Footer">
    <w:name w:val="footer"/>
    <w:basedOn w:val="Normal"/>
    <w:link w:val="FooterChar"/>
    <w:uiPriority w:val="99"/>
    <w:unhideWhenUsed/>
    <w:rsid w:val="00A142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23E"/>
  </w:style>
  <w:style w:type="character" w:styleId="Hyperlink">
    <w:name w:val="Hyperlink"/>
    <w:basedOn w:val="DefaultParagraphFont"/>
    <w:uiPriority w:val="99"/>
    <w:unhideWhenUsed/>
    <w:rsid w:val="00D06466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rsid w:val="00D0646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06466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semiHidden/>
    <w:rsid w:val="00D06466"/>
    <w:rPr>
      <w:vertAlign w:val="superscript"/>
    </w:rPr>
  </w:style>
  <w:style w:type="paragraph" w:customStyle="1" w:styleId="BBAuthorName">
    <w:name w:val="BB_Author_Name"/>
    <w:basedOn w:val="Normal"/>
    <w:next w:val="Normal"/>
    <w:rsid w:val="00D06466"/>
    <w:pPr>
      <w:spacing w:after="240" w:line="480" w:lineRule="auto"/>
      <w:jc w:val="center"/>
    </w:pPr>
    <w:rPr>
      <w:rFonts w:ascii="Times" w:eastAsia="Times New Roman" w:hAnsi="Times" w:cs="Times"/>
      <w:i/>
      <w:iCs/>
    </w:rPr>
  </w:style>
  <w:style w:type="character" w:customStyle="1" w:styleId="fontstyle01">
    <w:name w:val="fontstyle01"/>
    <w:basedOn w:val="DefaultParagraphFont"/>
    <w:rsid w:val="001928A5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38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kbordbar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z.aramesh890@hotmail.com</cp:lastModifiedBy>
  <cp:revision>21</cp:revision>
  <cp:lastPrinted>2019-03-12T07:41:00Z</cp:lastPrinted>
  <dcterms:created xsi:type="dcterms:W3CDTF">2019-04-07T07:25:00Z</dcterms:created>
  <dcterms:modified xsi:type="dcterms:W3CDTF">2019-04-26T18:21:00Z</dcterms:modified>
</cp:coreProperties>
</file>