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BFE" w:rsidRPr="008C6378" w:rsidRDefault="00833BFE" w:rsidP="00833BFE">
      <w:pPr>
        <w:bidi w:val="0"/>
        <w:spacing w:line="240" w:lineRule="auto"/>
        <w:jc w:val="center"/>
        <w:rPr>
          <w:rFonts w:asciiTheme="majorBidi" w:hAnsiTheme="majorBidi" w:cstheme="majorBidi"/>
          <w:b/>
          <w:bCs/>
        </w:rPr>
      </w:pPr>
      <w:r w:rsidRPr="008C6378">
        <w:rPr>
          <w:rFonts w:asciiTheme="majorBidi" w:hAnsiTheme="majorBidi" w:cstheme="majorBidi"/>
          <w:b/>
          <w:bCs/>
        </w:rPr>
        <w:t xml:space="preserve">Comparison and Evaluation of Recombinant </w:t>
      </w:r>
      <w:proofErr w:type="spellStart"/>
      <w:r w:rsidRPr="008C6378">
        <w:rPr>
          <w:rFonts w:asciiTheme="majorBidi" w:hAnsiTheme="majorBidi" w:cstheme="majorBidi"/>
          <w:b/>
          <w:bCs/>
        </w:rPr>
        <w:t>Brazzein</w:t>
      </w:r>
      <w:proofErr w:type="spellEnd"/>
      <w:r w:rsidRPr="008C6378">
        <w:rPr>
          <w:rFonts w:asciiTheme="majorBidi" w:hAnsiTheme="majorBidi" w:cstheme="majorBidi"/>
          <w:b/>
          <w:bCs/>
        </w:rPr>
        <w:t xml:space="preserve"> Protein Production </w:t>
      </w:r>
      <w:proofErr w:type="gramStart"/>
      <w:r w:rsidRPr="008C6378">
        <w:rPr>
          <w:rFonts w:asciiTheme="majorBidi" w:hAnsiTheme="majorBidi" w:cstheme="majorBidi"/>
          <w:b/>
          <w:bCs/>
        </w:rPr>
        <w:t>With</w:t>
      </w:r>
      <w:proofErr w:type="gramEnd"/>
      <w:r w:rsidRPr="008C6378">
        <w:rPr>
          <w:rFonts w:asciiTheme="majorBidi" w:hAnsiTheme="majorBidi" w:cstheme="majorBidi"/>
          <w:b/>
          <w:bCs/>
        </w:rPr>
        <w:t xml:space="preserve"> and Without GST Fusion Tag</w:t>
      </w:r>
    </w:p>
    <w:p w:rsidR="00833BFE" w:rsidRDefault="00833BFE" w:rsidP="00833BFE">
      <w:pPr>
        <w:bidi w:val="0"/>
        <w:spacing w:after="0" w:line="240" w:lineRule="auto"/>
        <w:jc w:val="center"/>
        <w:rPr>
          <w:rFonts w:asciiTheme="majorBidi" w:hAnsiTheme="majorBidi" w:cstheme="majorBidi"/>
          <w:sz w:val="20"/>
          <w:szCs w:val="20"/>
          <w:vertAlign w:val="superscript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Kazemi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Nasab</w:t>
      </w:r>
      <w:proofErr w:type="spellEnd"/>
      <w:r>
        <w:rPr>
          <w:rFonts w:asciiTheme="majorBidi" w:hAnsiTheme="majorBidi" w:cstheme="majorBidi"/>
          <w:sz w:val="20"/>
          <w:szCs w:val="20"/>
        </w:rPr>
        <w:t>, A.,</w:t>
      </w:r>
      <w:r>
        <w:rPr>
          <w:rFonts w:asciiTheme="majorBidi" w:hAnsiTheme="majorBidi" w:cstheme="majorBidi"/>
          <w:sz w:val="20"/>
          <w:szCs w:val="20"/>
          <w:vertAlign w:val="superscript"/>
        </w:rPr>
        <w:t xml:space="preserve">1 </w:t>
      </w:r>
      <w:r>
        <w:rPr>
          <w:rFonts w:asciiTheme="majorBidi" w:hAnsiTheme="majorBidi" w:cstheme="majorBidi"/>
          <w:sz w:val="20"/>
          <w:szCs w:val="20"/>
        </w:rPr>
        <w:t xml:space="preserve">and A. </w:t>
      </w:r>
      <w:proofErr w:type="spellStart"/>
      <w:r>
        <w:rPr>
          <w:rFonts w:asciiTheme="majorBidi" w:hAnsiTheme="majorBidi" w:cstheme="majorBidi"/>
          <w:sz w:val="20"/>
          <w:szCs w:val="20"/>
        </w:rPr>
        <w:t>SHah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Piri</w:t>
      </w:r>
      <w:r>
        <w:rPr>
          <w:rFonts w:asciiTheme="majorBidi" w:hAnsiTheme="majorBidi" w:cstheme="majorBidi"/>
          <w:sz w:val="20"/>
          <w:szCs w:val="20"/>
          <w:vertAlign w:val="superscript"/>
        </w:rPr>
        <w:t>2</w:t>
      </w:r>
    </w:p>
    <w:p w:rsidR="00833BFE" w:rsidRDefault="00833BFE" w:rsidP="00833BFE">
      <w:pPr>
        <w:bidi w:val="0"/>
        <w:spacing w:after="0" w:line="240" w:lineRule="auto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  <w:vertAlign w:val="superscript"/>
        </w:rPr>
        <w:t>1</w:t>
      </w:r>
      <w:r>
        <w:rPr>
          <w:rFonts w:asciiTheme="majorBidi" w:hAnsiTheme="majorBidi" w:cstheme="majorBidi"/>
          <w:sz w:val="20"/>
          <w:szCs w:val="20"/>
        </w:rPr>
        <w:t>MSc Department of Agricultural Biotechnology, Faculty of Agriculture, Isfahan University of Technology</w:t>
      </w:r>
    </w:p>
    <w:p w:rsidR="00833BFE" w:rsidRDefault="00833BFE" w:rsidP="00833BFE">
      <w:pPr>
        <w:bidi w:val="0"/>
        <w:spacing w:after="0" w:line="240" w:lineRule="auto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  <w:vertAlign w:val="superscript"/>
        </w:rPr>
        <w:t>2</w:t>
      </w:r>
      <w:r>
        <w:rPr>
          <w:rFonts w:asciiTheme="majorBidi" w:hAnsiTheme="majorBidi" w:cstheme="majorBidi"/>
          <w:sz w:val="20"/>
          <w:szCs w:val="20"/>
        </w:rPr>
        <w:t>Assistant Professor Department of Agricultural Biotechnology, Faculty of Agriculture, Isfahan University of Technology</w:t>
      </w:r>
    </w:p>
    <w:p w:rsidR="00833BFE" w:rsidRPr="00AC2D10" w:rsidRDefault="00833BFE" w:rsidP="00833BFE">
      <w:pPr>
        <w:spacing w:line="240" w:lineRule="auto"/>
        <w:ind w:left="1"/>
        <w:jc w:val="center"/>
        <w:rPr>
          <w:rFonts w:asciiTheme="majorBidi" w:hAnsiTheme="majorBidi" w:cs="B Lotus"/>
          <w:szCs w:val="20"/>
        </w:rPr>
      </w:pPr>
      <w:r>
        <w:rPr>
          <w:rFonts w:asciiTheme="majorBidi" w:hAnsiTheme="majorBidi" w:cs="B Lotus"/>
          <w:sz w:val="20"/>
          <w:szCs w:val="20"/>
        </w:rPr>
        <w:t xml:space="preserve">Email: </w:t>
      </w:r>
      <w:r>
        <w:rPr>
          <w:rFonts w:asciiTheme="majorBidi" w:hAnsiTheme="majorBidi" w:cs="B Lotus"/>
          <w:szCs w:val="20"/>
        </w:rPr>
        <w:t>www.a.kazemi.n93@</w:t>
      </w:r>
      <w:r w:rsidRPr="00835A94">
        <w:rPr>
          <w:rFonts w:asciiTheme="majorBidi" w:hAnsiTheme="majorBidi" w:cs="B Lotus"/>
          <w:szCs w:val="20"/>
        </w:rPr>
        <w:t>gmail.com</w:t>
      </w:r>
    </w:p>
    <w:p w:rsidR="00833BFE" w:rsidRDefault="00833BFE" w:rsidP="00833BFE">
      <w:pPr>
        <w:bidi w:val="0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 the past, compounds such as proteins were considered to be tasteless and the idea that such macromolecules could have a taste or particular flavor activities was unexpected but the discovery of the </w:t>
      </w:r>
      <w:proofErr w:type="spellStart"/>
      <w:r>
        <w:rPr>
          <w:rFonts w:asciiTheme="majorBidi" w:hAnsiTheme="majorBidi" w:cstheme="majorBidi"/>
          <w:sz w:val="24"/>
          <w:szCs w:val="24"/>
        </w:rPr>
        <w:t>miraculin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with the nature of the protein and as a flavor modifying glycoprotein was ended these ideas. Following </w:t>
      </w:r>
      <w:proofErr w:type="spellStart"/>
      <w:r>
        <w:rPr>
          <w:rFonts w:asciiTheme="majorBidi" w:hAnsiTheme="majorBidi" w:cstheme="majorBidi"/>
          <w:sz w:val="24"/>
          <w:szCs w:val="24"/>
        </w:rPr>
        <w:t>Miraculin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other types of proteins including </w:t>
      </w:r>
      <w:proofErr w:type="spellStart"/>
      <w:r>
        <w:rPr>
          <w:rFonts w:asciiTheme="majorBidi" w:hAnsiTheme="majorBidi" w:cstheme="majorBidi"/>
          <w:sz w:val="24"/>
          <w:szCs w:val="24"/>
        </w:rPr>
        <w:t>Brazzein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were identified with intrinsic sweets. The present study was carried out with aim to evaluate and compare the production of </w:t>
      </w:r>
      <w:proofErr w:type="spellStart"/>
      <w:r>
        <w:rPr>
          <w:rFonts w:asciiTheme="majorBidi" w:hAnsiTheme="majorBidi" w:cstheme="majorBidi"/>
          <w:sz w:val="24"/>
          <w:szCs w:val="24"/>
        </w:rPr>
        <w:t>Brazzein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protein with and without the GST fusion tag by expression vectors </w:t>
      </w:r>
      <w:r w:rsidRPr="00561EC5">
        <w:rPr>
          <w:rFonts w:asciiTheme="majorBidi" w:hAnsiTheme="majorBidi" w:cstheme="majorBidi"/>
          <w:sz w:val="24"/>
          <w:szCs w:val="24"/>
        </w:rPr>
        <w:t>pET41a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561EC5">
        <w:rPr>
          <w:rFonts w:asciiTheme="majorBidi" w:hAnsiTheme="majorBidi" w:cstheme="majorBidi"/>
          <w:sz w:val="24"/>
          <w:szCs w:val="24"/>
        </w:rPr>
        <w:t>pET28a</w:t>
      </w:r>
      <w:r>
        <w:rPr>
          <w:rFonts w:asciiTheme="majorBidi" w:hAnsiTheme="majorBidi" w:cstheme="majorBidi"/>
          <w:sz w:val="24"/>
          <w:szCs w:val="24"/>
        </w:rPr>
        <w:t xml:space="preserve"> in </w:t>
      </w:r>
      <w:proofErr w:type="gramStart"/>
      <w:r w:rsidRPr="00561EC5">
        <w:rPr>
          <w:rFonts w:asciiTheme="majorBidi" w:hAnsiTheme="majorBidi" w:cstheme="majorBidi"/>
          <w:i/>
          <w:iCs/>
          <w:sz w:val="24"/>
          <w:szCs w:val="24"/>
        </w:rPr>
        <w:t>E.coli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bacteria. The sequence of the gene encoding </w:t>
      </w:r>
      <w:proofErr w:type="spellStart"/>
      <w:r>
        <w:rPr>
          <w:rFonts w:asciiTheme="majorBidi" w:hAnsiTheme="majorBidi" w:cstheme="majorBidi"/>
          <w:sz w:val="24"/>
          <w:szCs w:val="24"/>
        </w:rPr>
        <w:t>Brazzein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was synthesized and cloned into </w:t>
      </w:r>
      <w:r w:rsidRPr="00561EC5">
        <w:rPr>
          <w:rFonts w:asciiTheme="majorBidi" w:hAnsiTheme="majorBidi" w:cstheme="majorBidi"/>
          <w:sz w:val="24"/>
          <w:szCs w:val="24"/>
        </w:rPr>
        <w:t>pET41a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561EC5">
        <w:rPr>
          <w:rFonts w:asciiTheme="majorBidi" w:hAnsiTheme="majorBidi" w:cstheme="majorBidi"/>
          <w:sz w:val="24"/>
          <w:szCs w:val="24"/>
        </w:rPr>
        <w:t>pET28a</w:t>
      </w:r>
      <w:r>
        <w:rPr>
          <w:rFonts w:asciiTheme="majorBidi" w:hAnsiTheme="majorBidi" w:cstheme="majorBidi"/>
          <w:sz w:val="24"/>
          <w:szCs w:val="24"/>
        </w:rPr>
        <w:t xml:space="preserve">. the resulted constructs were transformed to expression host </w:t>
      </w:r>
      <w:proofErr w:type="gramStart"/>
      <w:r w:rsidRPr="005E0F3B">
        <w:rPr>
          <w:rFonts w:asciiTheme="majorBidi" w:hAnsiTheme="majorBidi" w:cstheme="majorBidi"/>
          <w:sz w:val="24"/>
          <w:szCs w:val="24"/>
        </w:rPr>
        <w:t>E.coli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, strain </w:t>
      </w:r>
      <w:proofErr w:type="spellStart"/>
      <w:r>
        <w:rPr>
          <w:rFonts w:asciiTheme="majorBidi" w:hAnsiTheme="majorBidi" w:cstheme="majorBidi"/>
          <w:sz w:val="24"/>
          <w:szCs w:val="24"/>
        </w:rPr>
        <w:t>Rosseta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(DE3). A significant amount of GST (as a control), </w:t>
      </w:r>
      <w:r w:rsidRPr="005E0F3B">
        <w:rPr>
          <w:rFonts w:asciiTheme="majorBidi" w:hAnsiTheme="majorBidi" w:cstheme="majorBidi"/>
          <w:sz w:val="24"/>
          <w:szCs w:val="24"/>
        </w:rPr>
        <w:t>GST-His-bra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5E0F3B">
        <w:rPr>
          <w:rFonts w:asciiTheme="majorBidi" w:hAnsiTheme="majorBidi" w:cstheme="majorBidi"/>
          <w:sz w:val="24"/>
          <w:szCs w:val="24"/>
        </w:rPr>
        <w:t>His-T7-bra</w:t>
      </w:r>
      <w:r>
        <w:rPr>
          <w:rFonts w:asciiTheme="majorBidi" w:hAnsiTheme="majorBidi" w:cstheme="majorBidi"/>
          <w:sz w:val="24"/>
          <w:szCs w:val="24"/>
        </w:rPr>
        <w:t xml:space="preserve"> proteins was generated with induction of expression of the protein by IPTG. Due to the presence of this GST-tag and the sensitivity of this protein to the presence of a special N-terminal sequence, </w:t>
      </w:r>
      <w:r w:rsidRPr="00325FAF">
        <w:rPr>
          <w:rFonts w:asciiTheme="majorBidi" w:hAnsiTheme="majorBidi" w:cstheme="majorBidi"/>
          <w:sz w:val="24"/>
          <w:szCs w:val="24"/>
        </w:rPr>
        <w:t>GST-His-bra</w:t>
      </w:r>
      <w:r>
        <w:rPr>
          <w:rFonts w:asciiTheme="majorBidi" w:hAnsiTheme="majorBidi" w:cstheme="majorBidi"/>
          <w:sz w:val="24"/>
          <w:szCs w:val="24"/>
        </w:rPr>
        <w:t xml:space="preserve"> protein was digested by protease </w:t>
      </w:r>
      <w:proofErr w:type="spellStart"/>
      <w:r>
        <w:rPr>
          <w:rFonts w:asciiTheme="majorBidi" w:hAnsiTheme="majorBidi" w:cstheme="majorBidi"/>
          <w:sz w:val="24"/>
          <w:szCs w:val="24"/>
        </w:rPr>
        <w:t>enterokinase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Success in digestion, separating GST-tag and </w:t>
      </w:r>
      <w:proofErr w:type="spellStart"/>
      <w:r>
        <w:rPr>
          <w:rFonts w:asciiTheme="majorBidi" w:hAnsiTheme="majorBidi" w:cstheme="majorBidi"/>
          <w:sz w:val="24"/>
          <w:szCs w:val="24"/>
        </w:rPr>
        <w:t>Brazzein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protein size was confirmed by the </w:t>
      </w:r>
      <w:proofErr w:type="spellStart"/>
      <w:r w:rsidRPr="009B53F9">
        <w:rPr>
          <w:rFonts w:asciiTheme="majorBidi" w:hAnsiTheme="majorBidi" w:cstheme="majorBidi"/>
          <w:sz w:val="24"/>
          <w:szCs w:val="24"/>
        </w:rPr>
        <w:t>Tricine</w:t>
      </w:r>
      <w:proofErr w:type="spellEnd"/>
      <w:r w:rsidRPr="009B53F9">
        <w:rPr>
          <w:rFonts w:asciiTheme="majorBidi" w:hAnsiTheme="majorBidi" w:cstheme="majorBidi"/>
          <w:sz w:val="24"/>
          <w:szCs w:val="24"/>
        </w:rPr>
        <w:t>-SDS-PAGE gel</w:t>
      </w:r>
      <w:r>
        <w:rPr>
          <w:rFonts w:asciiTheme="majorBidi" w:hAnsiTheme="majorBidi" w:cstheme="majorBidi"/>
          <w:sz w:val="24"/>
          <w:szCs w:val="24"/>
        </w:rPr>
        <w:t xml:space="preserve">. Heterologous production of </w:t>
      </w:r>
      <w:proofErr w:type="spellStart"/>
      <w:r>
        <w:rPr>
          <w:rFonts w:asciiTheme="majorBidi" w:hAnsiTheme="majorBidi" w:cstheme="majorBidi"/>
          <w:sz w:val="24"/>
          <w:szCs w:val="24"/>
        </w:rPr>
        <w:t>Brazzein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with GST fusion tag was significantly more than </w:t>
      </w:r>
      <w:proofErr w:type="spellStart"/>
      <w:r>
        <w:rPr>
          <w:rFonts w:asciiTheme="majorBidi" w:hAnsiTheme="majorBidi" w:cstheme="majorBidi"/>
          <w:sz w:val="24"/>
          <w:szCs w:val="24"/>
        </w:rPr>
        <w:t>Brazzein</w:t>
      </w:r>
      <w:proofErr w:type="spellEnd"/>
      <w:r w:rsidRPr="003F7AB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Without this tag but the digestion process and two-steps purification of recombinant </w:t>
      </w:r>
      <w:r w:rsidRPr="009B164C">
        <w:rPr>
          <w:rFonts w:asciiTheme="majorBidi" w:hAnsiTheme="majorBidi" w:cstheme="majorBidi"/>
          <w:sz w:val="24"/>
          <w:szCs w:val="24"/>
        </w:rPr>
        <w:t xml:space="preserve">GST-His-bra </w:t>
      </w:r>
      <w:r>
        <w:rPr>
          <w:rFonts w:asciiTheme="majorBidi" w:hAnsiTheme="majorBidi" w:cstheme="majorBidi"/>
          <w:sz w:val="24"/>
          <w:szCs w:val="24"/>
        </w:rPr>
        <w:t xml:space="preserve">protein, the amount and final concentration of </w:t>
      </w:r>
      <w:proofErr w:type="spellStart"/>
      <w:r>
        <w:rPr>
          <w:rFonts w:asciiTheme="majorBidi" w:hAnsiTheme="majorBidi" w:cstheme="majorBidi"/>
          <w:sz w:val="24"/>
          <w:szCs w:val="24"/>
        </w:rPr>
        <w:t>Brazzein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was greatly reduced.</w:t>
      </w:r>
    </w:p>
    <w:p w:rsidR="00833BFE" w:rsidRPr="00C1039D" w:rsidRDefault="00833BFE" w:rsidP="00833BFE">
      <w:pPr>
        <w:bidi w:val="0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Key words: </w:t>
      </w:r>
      <w:proofErr w:type="spellStart"/>
      <w:r>
        <w:rPr>
          <w:rFonts w:asciiTheme="majorBidi" w:hAnsiTheme="majorBidi" w:cstheme="majorBidi"/>
          <w:sz w:val="24"/>
          <w:szCs w:val="24"/>
        </w:rPr>
        <w:t>Brazzein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sweet protein, GST fusion tag, </w:t>
      </w:r>
      <w:proofErr w:type="spellStart"/>
      <w:r>
        <w:rPr>
          <w:rFonts w:asciiTheme="majorBidi" w:hAnsiTheme="majorBidi" w:cstheme="majorBidi"/>
          <w:sz w:val="24"/>
          <w:szCs w:val="24"/>
        </w:rPr>
        <w:t>enterokinase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enzyme</w:t>
      </w:r>
    </w:p>
    <w:p w:rsidR="00F07369" w:rsidRDefault="00F07369">
      <w:bookmarkStart w:id="0" w:name="_GoBack"/>
      <w:bookmarkEnd w:id="0"/>
    </w:p>
    <w:sectPr w:rsidR="00F07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FE"/>
    <w:rsid w:val="00833BFE"/>
    <w:rsid w:val="00F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6059A7-5F64-4CAB-AA95-D046E548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BFE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2019-04-09T08:52:00Z</dcterms:created>
  <dcterms:modified xsi:type="dcterms:W3CDTF">2019-04-09T08:53:00Z</dcterms:modified>
</cp:coreProperties>
</file>