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4A1" w:rsidRPr="00C604A1" w:rsidRDefault="00C604A1" w:rsidP="00C604A1">
      <w:pPr>
        <w:spacing w:after="0" w:line="360" w:lineRule="auto"/>
        <w:outlineLvl w:val="3"/>
        <w:rPr>
          <w:rFonts w:asciiTheme="majorBidi" w:hAnsiTheme="majorBidi" w:cstheme="majorBidi"/>
          <w:b/>
          <w:bCs/>
          <w:sz w:val="24"/>
          <w:szCs w:val="24"/>
          <w:highlight w:val="yellow"/>
        </w:rPr>
      </w:pPr>
      <w:r w:rsidRPr="00C604A1">
        <w:rPr>
          <w:rFonts w:asciiTheme="majorBidi" w:hAnsiTheme="majorBidi" w:cstheme="majorBidi"/>
          <w:b/>
          <w:bCs/>
          <w:sz w:val="24"/>
          <w:szCs w:val="24"/>
        </w:rPr>
        <w:t xml:space="preserve">Design, synthesis and enzymatic inhibition of novel unusual amino acids as a transition state analogue of </w:t>
      </w:r>
      <w:r w:rsidRPr="00C604A1">
        <w:rPr>
          <w:rFonts w:asciiTheme="majorBidi" w:hAnsiTheme="majorBidi" w:cstheme="majorBidi"/>
          <w:b/>
          <w:bCs/>
          <w:sz w:val="24"/>
          <w:szCs w:val="24"/>
          <w:lang w:val="en"/>
        </w:rPr>
        <w:t>amyloid precursor protein</w:t>
      </w:r>
      <w:r w:rsidRPr="00C604A1">
        <w:rPr>
          <w:rFonts w:asciiTheme="majorBidi" w:hAnsiTheme="majorBidi" w:cstheme="majorBidi"/>
          <w:b/>
          <w:bCs/>
          <w:sz w:val="24"/>
          <w:szCs w:val="24"/>
        </w:rPr>
        <w:t xml:space="preserve"> peptide</w:t>
      </w:r>
    </w:p>
    <w:p w:rsidR="00C604A1" w:rsidRPr="00C604A1" w:rsidRDefault="00C604A1" w:rsidP="00C604A1">
      <w:pPr>
        <w:spacing w:line="360" w:lineRule="auto"/>
        <w:rPr>
          <w:rFonts w:asciiTheme="majorBidi" w:hAnsiTheme="majorBidi" w:cstheme="majorBidi"/>
          <w:sz w:val="24"/>
          <w:szCs w:val="24"/>
        </w:rPr>
      </w:pPr>
    </w:p>
    <w:p w:rsidR="00C604A1" w:rsidRPr="00C604A1" w:rsidRDefault="00C604A1" w:rsidP="00C604A1">
      <w:pPr>
        <w:spacing w:line="360" w:lineRule="auto"/>
        <w:jc w:val="both"/>
        <w:rPr>
          <w:rFonts w:asciiTheme="majorBidi" w:hAnsiTheme="majorBidi" w:cstheme="majorBidi"/>
          <w:sz w:val="24"/>
          <w:szCs w:val="24"/>
        </w:rPr>
      </w:pPr>
      <w:proofErr w:type="spellStart"/>
      <w:r w:rsidRPr="00C604A1">
        <w:rPr>
          <w:rFonts w:asciiTheme="majorBidi" w:hAnsiTheme="majorBidi" w:cstheme="majorBidi"/>
          <w:sz w:val="24"/>
          <w:szCs w:val="24"/>
        </w:rPr>
        <w:t>Atefe</w:t>
      </w:r>
      <w:proofErr w:type="spellEnd"/>
      <w:r w:rsidRPr="00C604A1">
        <w:rPr>
          <w:rFonts w:asciiTheme="majorBidi" w:hAnsiTheme="majorBidi" w:cstheme="majorBidi"/>
          <w:sz w:val="24"/>
          <w:szCs w:val="24"/>
        </w:rPr>
        <w:t xml:space="preserve"> Ghodrati</w:t>
      </w:r>
      <w:r w:rsidRPr="00C604A1">
        <w:rPr>
          <w:rFonts w:asciiTheme="majorBidi" w:hAnsiTheme="majorBidi" w:cstheme="majorBidi"/>
          <w:sz w:val="24"/>
          <w:szCs w:val="24"/>
          <w:vertAlign w:val="superscript"/>
        </w:rPr>
        <w:t>1</w:t>
      </w:r>
      <w:r w:rsidRPr="00C604A1">
        <w:rPr>
          <w:rFonts w:asciiTheme="majorBidi" w:hAnsiTheme="majorBidi" w:cstheme="majorBidi"/>
          <w:sz w:val="24"/>
          <w:szCs w:val="24"/>
        </w:rPr>
        <w:t>,</w:t>
      </w:r>
      <w:r w:rsidRPr="00C604A1">
        <w:rPr>
          <w:rFonts w:asciiTheme="majorBidi" w:hAnsiTheme="majorBidi" w:cstheme="majorBidi"/>
          <w:sz w:val="24"/>
          <w:szCs w:val="24"/>
          <w:lang w:bidi="fa-IR"/>
        </w:rPr>
        <w:t xml:space="preserve"> </w:t>
      </w:r>
      <w:proofErr w:type="spellStart"/>
      <w:r w:rsidRPr="00C604A1">
        <w:rPr>
          <w:rFonts w:asciiTheme="majorBidi" w:hAnsiTheme="majorBidi" w:cstheme="majorBidi"/>
          <w:sz w:val="24"/>
          <w:szCs w:val="24"/>
          <w:lang w:bidi="fa-IR"/>
        </w:rPr>
        <w:t>Loghman</w:t>
      </w:r>
      <w:proofErr w:type="spellEnd"/>
      <w:r w:rsidRPr="00C604A1">
        <w:rPr>
          <w:rFonts w:asciiTheme="majorBidi" w:hAnsiTheme="majorBidi" w:cstheme="majorBidi"/>
          <w:sz w:val="24"/>
          <w:szCs w:val="24"/>
          <w:lang w:bidi="fa-IR"/>
        </w:rPr>
        <w:t xml:space="preserve"> Firoozpour</w:t>
      </w:r>
      <w:r w:rsidRPr="00C604A1">
        <w:rPr>
          <w:rFonts w:asciiTheme="majorBidi" w:hAnsiTheme="majorBidi" w:cstheme="majorBidi"/>
          <w:sz w:val="24"/>
          <w:szCs w:val="24"/>
          <w:vertAlign w:val="superscript"/>
          <w:lang w:bidi="fa-IR"/>
        </w:rPr>
        <w:t>2</w:t>
      </w:r>
      <w:r w:rsidRPr="00C604A1">
        <w:rPr>
          <w:rFonts w:asciiTheme="majorBidi" w:eastAsia="TimesNewRoman" w:hAnsiTheme="majorBidi" w:cstheme="majorBidi"/>
          <w:sz w:val="24"/>
          <w:szCs w:val="24"/>
          <w:lang w:bidi="fa-IR"/>
        </w:rPr>
        <w:t>,</w:t>
      </w:r>
      <w:r w:rsidRPr="00C604A1">
        <w:rPr>
          <w:rFonts w:asciiTheme="majorBidi" w:hAnsiTheme="majorBidi" w:cstheme="majorBidi"/>
          <w:sz w:val="24"/>
          <w:szCs w:val="24"/>
          <w:lang w:bidi="fa-IR"/>
        </w:rPr>
        <w:t xml:space="preserve"> </w:t>
      </w:r>
      <w:r w:rsidRPr="00C604A1">
        <w:rPr>
          <w:rFonts w:asciiTheme="majorBidi" w:eastAsia="TimesNewRoman" w:hAnsiTheme="majorBidi" w:cstheme="majorBidi"/>
          <w:sz w:val="24"/>
          <w:szCs w:val="24"/>
          <w:lang w:bidi="fa-IR"/>
        </w:rPr>
        <w:t>Saeed Balalaie</w:t>
      </w:r>
      <w:r w:rsidRPr="00C604A1">
        <w:rPr>
          <w:rFonts w:asciiTheme="majorBidi" w:eastAsia="TimesNewRoman" w:hAnsiTheme="majorBidi" w:cstheme="majorBidi"/>
          <w:sz w:val="24"/>
          <w:szCs w:val="24"/>
          <w:vertAlign w:val="superscript"/>
          <w:lang w:bidi="fa-IR"/>
        </w:rPr>
        <w:t>3</w:t>
      </w:r>
      <w:r w:rsidRPr="00C604A1">
        <w:rPr>
          <w:rFonts w:asciiTheme="majorBidi" w:hAnsiTheme="majorBidi" w:cstheme="majorBidi"/>
          <w:sz w:val="24"/>
          <w:szCs w:val="24"/>
        </w:rPr>
        <w:t xml:space="preserve">, </w:t>
      </w:r>
      <w:bookmarkStart w:id="0" w:name="_Hlk510307541"/>
      <w:proofErr w:type="spellStart"/>
      <w:r w:rsidRPr="00C604A1">
        <w:rPr>
          <w:rFonts w:asciiTheme="majorBidi" w:hAnsiTheme="majorBidi" w:cstheme="majorBidi"/>
          <w:sz w:val="24"/>
          <w:szCs w:val="24"/>
          <w:lang w:bidi="fa-IR"/>
        </w:rPr>
        <w:t>Sorour</w:t>
      </w:r>
      <w:proofErr w:type="spellEnd"/>
      <w:r w:rsidRPr="00C604A1">
        <w:rPr>
          <w:rFonts w:asciiTheme="majorBidi" w:hAnsiTheme="majorBidi" w:cstheme="majorBidi"/>
          <w:sz w:val="24"/>
          <w:szCs w:val="24"/>
          <w:lang w:bidi="fa-IR"/>
        </w:rPr>
        <w:t xml:space="preserve"> Ramezanpour</w:t>
      </w:r>
      <w:r w:rsidRPr="00C604A1">
        <w:rPr>
          <w:rFonts w:asciiTheme="majorBidi" w:hAnsiTheme="majorBidi" w:cstheme="majorBidi"/>
          <w:sz w:val="24"/>
          <w:szCs w:val="24"/>
          <w:vertAlign w:val="superscript"/>
        </w:rPr>
        <w:t>3</w:t>
      </w:r>
      <w:r w:rsidRPr="00C604A1">
        <w:rPr>
          <w:rFonts w:asciiTheme="majorBidi" w:hAnsiTheme="majorBidi" w:cstheme="majorBidi"/>
          <w:b/>
          <w:bCs/>
          <w:sz w:val="24"/>
          <w:szCs w:val="24"/>
          <w:lang w:bidi="fa-IR"/>
        </w:rPr>
        <w:t xml:space="preserve">, </w:t>
      </w:r>
      <w:proofErr w:type="spellStart"/>
      <w:r w:rsidRPr="00C604A1">
        <w:rPr>
          <w:rFonts w:asciiTheme="majorBidi" w:hAnsiTheme="majorBidi" w:cstheme="majorBidi"/>
          <w:sz w:val="24"/>
          <w:szCs w:val="24"/>
        </w:rPr>
        <w:t>Najme</w:t>
      </w:r>
      <w:proofErr w:type="spellEnd"/>
      <w:r w:rsidRPr="00C604A1">
        <w:rPr>
          <w:rFonts w:asciiTheme="majorBidi" w:hAnsiTheme="majorBidi" w:cstheme="majorBidi"/>
          <w:sz w:val="24"/>
          <w:szCs w:val="24"/>
        </w:rPr>
        <w:t xml:space="preserve"> Edraki</w:t>
      </w:r>
      <w:r w:rsidRPr="00C604A1">
        <w:rPr>
          <w:rFonts w:asciiTheme="majorBidi" w:hAnsiTheme="majorBidi" w:cstheme="majorBidi"/>
          <w:sz w:val="24"/>
          <w:szCs w:val="24"/>
          <w:vertAlign w:val="superscript"/>
        </w:rPr>
        <w:t>4</w:t>
      </w:r>
      <w:r w:rsidRPr="00C604A1">
        <w:rPr>
          <w:rFonts w:asciiTheme="majorBidi" w:hAnsiTheme="majorBidi" w:cstheme="majorBidi"/>
          <w:sz w:val="24"/>
          <w:szCs w:val="24"/>
        </w:rPr>
        <w:t xml:space="preserve">, </w:t>
      </w:r>
      <w:proofErr w:type="spellStart"/>
      <w:r w:rsidRPr="00C604A1">
        <w:rPr>
          <w:rFonts w:asciiTheme="majorBidi" w:hAnsiTheme="majorBidi" w:cstheme="majorBidi"/>
          <w:sz w:val="24"/>
          <w:szCs w:val="24"/>
          <w:lang w:bidi="fa-IR"/>
        </w:rPr>
        <w:t>Naser</w:t>
      </w:r>
      <w:proofErr w:type="spellEnd"/>
      <w:r w:rsidRPr="00C604A1">
        <w:rPr>
          <w:rFonts w:asciiTheme="majorBidi" w:hAnsiTheme="majorBidi" w:cstheme="majorBidi"/>
          <w:sz w:val="24"/>
          <w:szCs w:val="24"/>
          <w:lang w:bidi="fa-IR"/>
        </w:rPr>
        <w:t xml:space="preserve"> Mohtavinejad</w:t>
      </w:r>
      <w:r w:rsidRPr="00C604A1">
        <w:rPr>
          <w:rFonts w:asciiTheme="majorBidi" w:hAnsiTheme="majorBidi" w:cstheme="majorBidi"/>
          <w:sz w:val="24"/>
          <w:szCs w:val="24"/>
          <w:vertAlign w:val="superscript"/>
          <w:lang w:bidi="fa-IR"/>
        </w:rPr>
        <w:t>5</w:t>
      </w:r>
      <w:r w:rsidRPr="00C604A1">
        <w:rPr>
          <w:rFonts w:asciiTheme="majorBidi" w:hAnsiTheme="majorBidi" w:cstheme="majorBidi"/>
          <w:sz w:val="24"/>
          <w:szCs w:val="24"/>
          <w:lang w:bidi="fa-IR"/>
        </w:rPr>
        <w:t xml:space="preserve">, </w:t>
      </w:r>
      <w:proofErr w:type="spellStart"/>
      <w:r w:rsidRPr="00C604A1">
        <w:rPr>
          <w:rFonts w:asciiTheme="majorBidi" w:hAnsiTheme="majorBidi" w:cstheme="majorBidi"/>
          <w:sz w:val="24"/>
          <w:szCs w:val="24"/>
        </w:rPr>
        <w:t>Massoud</w:t>
      </w:r>
      <w:proofErr w:type="spellEnd"/>
      <w:r w:rsidRPr="00C604A1">
        <w:rPr>
          <w:rFonts w:asciiTheme="majorBidi" w:hAnsiTheme="majorBidi" w:cstheme="majorBidi"/>
          <w:sz w:val="24"/>
          <w:szCs w:val="24"/>
        </w:rPr>
        <w:t xml:space="preserve"> Amanlou</w:t>
      </w:r>
      <w:bookmarkEnd w:id="0"/>
      <w:r w:rsidRPr="00C604A1">
        <w:rPr>
          <w:rFonts w:asciiTheme="majorBidi" w:hAnsiTheme="majorBidi" w:cstheme="majorBidi"/>
          <w:sz w:val="24"/>
          <w:szCs w:val="24"/>
          <w:vertAlign w:val="superscript"/>
        </w:rPr>
        <w:t>1,2*</w:t>
      </w:r>
    </w:p>
    <w:p w:rsidR="00C604A1" w:rsidRPr="00C604A1" w:rsidRDefault="00C604A1" w:rsidP="00C604A1">
      <w:pPr>
        <w:spacing w:line="360" w:lineRule="auto"/>
        <w:jc w:val="both"/>
        <w:rPr>
          <w:rFonts w:asciiTheme="majorBidi" w:hAnsiTheme="majorBidi" w:cstheme="majorBidi"/>
          <w:sz w:val="24"/>
          <w:szCs w:val="24"/>
        </w:rPr>
      </w:pPr>
      <w:r w:rsidRPr="00C604A1">
        <w:rPr>
          <w:rFonts w:asciiTheme="majorBidi" w:hAnsiTheme="majorBidi" w:cstheme="majorBidi"/>
          <w:sz w:val="24"/>
          <w:szCs w:val="24"/>
          <w:vertAlign w:val="superscript"/>
        </w:rPr>
        <w:t>1</w:t>
      </w:r>
      <w:r w:rsidRPr="00C604A1">
        <w:rPr>
          <w:rFonts w:asciiTheme="majorBidi" w:hAnsiTheme="majorBidi" w:cstheme="majorBidi"/>
          <w:sz w:val="24"/>
          <w:szCs w:val="24"/>
        </w:rPr>
        <w:t>Department of Medicinal Chemistry, Faculty of Pharmacy, Tehran University of Medical Sciences, Tehran, Iran.</w:t>
      </w:r>
    </w:p>
    <w:p w:rsidR="00C604A1" w:rsidRPr="00C604A1" w:rsidRDefault="00C604A1" w:rsidP="00C604A1">
      <w:pPr>
        <w:spacing w:line="360" w:lineRule="auto"/>
        <w:jc w:val="both"/>
        <w:rPr>
          <w:rFonts w:asciiTheme="majorBidi" w:hAnsiTheme="majorBidi" w:cstheme="majorBidi"/>
          <w:sz w:val="24"/>
          <w:szCs w:val="24"/>
        </w:rPr>
      </w:pPr>
      <w:r w:rsidRPr="00C604A1">
        <w:rPr>
          <w:rFonts w:asciiTheme="majorBidi" w:hAnsiTheme="majorBidi" w:cstheme="majorBidi"/>
          <w:sz w:val="24"/>
          <w:szCs w:val="24"/>
          <w:vertAlign w:val="superscript"/>
          <w:lang w:bidi="fa-IR"/>
        </w:rPr>
        <w:t>2</w:t>
      </w:r>
      <w:r w:rsidRPr="00C604A1">
        <w:rPr>
          <w:rFonts w:asciiTheme="majorBidi" w:hAnsiTheme="majorBidi" w:cstheme="majorBidi"/>
          <w:sz w:val="24"/>
          <w:szCs w:val="24"/>
          <w:lang w:bidi="fa-IR"/>
        </w:rPr>
        <w:t>Drug Design and Development Research Center, Tehran University of Medical Sciences, Tehran, Iran</w:t>
      </w:r>
    </w:p>
    <w:p w:rsidR="00C604A1" w:rsidRPr="00C604A1" w:rsidRDefault="00C604A1" w:rsidP="00C604A1">
      <w:pPr>
        <w:spacing w:line="360" w:lineRule="auto"/>
        <w:jc w:val="both"/>
        <w:rPr>
          <w:rFonts w:asciiTheme="majorBidi" w:hAnsiTheme="majorBidi" w:cstheme="majorBidi"/>
          <w:sz w:val="24"/>
          <w:szCs w:val="24"/>
          <w:lang w:bidi="fa-IR"/>
        </w:rPr>
      </w:pPr>
      <w:r w:rsidRPr="00C604A1">
        <w:rPr>
          <w:rFonts w:asciiTheme="majorBidi" w:hAnsiTheme="majorBidi" w:cstheme="majorBidi"/>
          <w:sz w:val="24"/>
          <w:szCs w:val="24"/>
          <w:vertAlign w:val="superscript"/>
        </w:rPr>
        <w:t>3</w:t>
      </w:r>
      <w:r w:rsidRPr="00C604A1">
        <w:rPr>
          <w:rFonts w:asciiTheme="majorBidi" w:hAnsiTheme="majorBidi" w:cstheme="majorBidi"/>
          <w:sz w:val="24"/>
          <w:szCs w:val="24"/>
          <w:lang w:bidi="fa-IR"/>
        </w:rPr>
        <w:t xml:space="preserve">Peptide Chemistry Research Center, K. N. </w:t>
      </w:r>
      <w:proofErr w:type="spellStart"/>
      <w:r w:rsidRPr="00C604A1">
        <w:rPr>
          <w:rFonts w:asciiTheme="majorBidi" w:hAnsiTheme="majorBidi" w:cstheme="majorBidi"/>
          <w:sz w:val="24"/>
          <w:szCs w:val="24"/>
          <w:lang w:bidi="fa-IR"/>
        </w:rPr>
        <w:t>Toosi</w:t>
      </w:r>
      <w:proofErr w:type="spellEnd"/>
      <w:r w:rsidRPr="00C604A1">
        <w:rPr>
          <w:rFonts w:asciiTheme="majorBidi" w:hAnsiTheme="majorBidi" w:cstheme="majorBidi"/>
          <w:sz w:val="24"/>
          <w:szCs w:val="24"/>
          <w:lang w:bidi="fa-IR"/>
        </w:rPr>
        <w:t xml:space="preserve"> University of Technology,</w:t>
      </w:r>
      <w:r w:rsidRPr="00C604A1">
        <w:rPr>
          <w:rFonts w:asciiTheme="majorBidi" w:hAnsiTheme="majorBidi" w:cstheme="majorBidi"/>
          <w:sz w:val="24"/>
          <w:szCs w:val="24"/>
        </w:rPr>
        <w:t xml:space="preserve"> </w:t>
      </w:r>
      <w:r w:rsidRPr="00C604A1">
        <w:rPr>
          <w:rFonts w:asciiTheme="majorBidi" w:hAnsiTheme="majorBidi" w:cstheme="majorBidi"/>
          <w:sz w:val="24"/>
          <w:szCs w:val="24"/>
          <w:lang w:bidi="fa-IR"/>
        </w:rPr>
        <w:t>Tehran, Iran</w:t>
      </w:r>
    </w:p>
    <w:p w:rsidR="00C604A1" w:rsidRPr="00C604A1" w:rsidRDefault="00C604A1" w:rsidP="00C604A1">
      <w:pPr>
        <w:spacing w:line="360" w:lineRule="auto"/>
        <w:jc w:val="both"/>
        <w:rPr>
          <w:rFonts w:asciiTheme="majorBidi" w:hAnsiTheme="majorBidi" w:cstheme="majorBidi"/>
          <w:sz w:val="24"/>
          <w:szCs w:val="24"/>
          <w:lang w:bidi="fa-IR"/>
        </w:rPr>
      </w:pPr>
      <w:r w:rsidRPr="00C604A1">
        <w:rPr>
          <w:rFonts w:asciiTheme="majorBidi" w:hAnsiTheme="majorBidi" w:cstheme="majorBidi"/>
          <w:sz w:val="24"/>
          <w:szCs w:val="24"/>
          <w:vertAlign w:val="superscript"/>
          <w:lang w:bidi="fa-IR"/>
        </w:rPr>
        <w:t>4</w:t>
      </w:r>
      <w:r w:rsidRPr="00C604A1">
        <w:rPr>
          <w:rFonts w:asciiTheme="majorBidi" w:hAnsiTheme="majorBidi" w:cstheme="majorBidi"/>
          <w:sz w:val="24"/>
          <w:szCs w:val="24"/>
          <w:lang w:bidi="fa-IR"/>
        </w:rPr>
        <w:t>Medicinal and Natural Products Chemistry Research Center, Shiraz University of Medical Sciences, Shiraz, Iran</w:t>
      </w:r>
    </w:p>
    <w:p w:rsidR="00C604A1" w:rsidRPr="00C604A1" w:rsidRDefault="00C604A1" w:rsidP="00C604A1">
      <w:pPr>
        <w:spacing w:line="360" w:lineRule="auto"/>
        <w:jc w:val="both"/>
        <w:rPr>
          <w:rFonts w:asciiTheme="majorBidi" w:hAnsiTheme="majorBidi" w:cstheme="majorBidi"/>
          <w:sz w:val="24"/>
          <w:szCs w:val="24"/>
        </w:rPr>
      </w:pPr>
      <w:r w:rsidRPr="00C604A1">
        <w:rPr>
          <w:rFonts w:asciiTheme="majorBidi" w:hAnsiTheme="majorBidi" w:cstheme="majorBidi"/>
          <w:sz w:val="24"/>
          <w:szCs w:val="24"/>
          <w:vertAlign w:val="superscript"/>
          <w:lang w:bidi="fa-IR"/>
        </w:rPr>
        <w:t>5</w:t>
      </w:r>
      <w:r w:rsidRPr="00C604A1">
        <w:rPr>
          <w:rFonts w:asciiTheme="majorBidi" w:hAnsiTheme="majorBidi" w:cstheme="majorBidi"/>
          <w:sz w:val="24"/>
          <w:szCs w:val="24"/>
          <w:lang w:bidi="fa-IR"/>
        </w:rPr>
        <w:t xml:space="preserve">Department </w:t>
      </w:r>
      <w:proofErr w:type="spellStart"/>
      <w:r w:rsidRPr="00C604A1">
        <w:rPr>
          <w:rFonts w:asciiTheme="majorBidi" w:hAnsiTheme="majorBidi" w:cstheme="majorBidi"/>
          <w:sz w:val="24"/>
          <w:szCs w:val="24"/>
          <w:lang w:bidi="fa-IR"/>
        </w:rPr>
        <w:t>Radiopharmacy</w:t>
      </w:r>
      <w:proofErr w:type="spellEnd"/>
      <w:r w:rsidRPr="00C604A1">
        <w:rPr>
          <w:rFonts w:asciiTheme="majorBidi" w:hAnsiTheme="majorBidi" w:cstheme="majorBidi"/>
          <w:sz w:val="24"/>
          <w:szCs w:val="24"/>
          <w:lang w:bidi="fa-IR"/>
        </w:rPr>
        <w:t xml:space="preserve">, </w:t>
      </w:r>
      <w:r w:rsidRPr="00C604A1">
        <w:rPr>
          <w:rFonts w:asciiTheme="majorBidi" w:hAnsiTheme="majorBidi" w:cstheme="majorBidi"/>
          <w:sz w:val="24"/>
          <w:szCs w:val="24"/>
        </w:rPr>
        <w:t>Tehran University of Medical Science, Tehran, Iran</w:t>
      </w:r>
    </w:p>
    <w:p w:rsidR="00C604A1" w:rsidRPr="00C604A1" w:rsidRDefault="00C604A1" w:rsidP="00C604A1">
      <w:pPr>
        <w:spacing w:line="360" w:lineRule="auto"/>
        <w:jc w:val="both"/>
        <w:rPr>
          <w:rFonts w:asciiTheme="majorBidi" w:eastAsia="Calibri" w:hAnsiTheme="majorBidi" w:cstheme="majorBidi"/>
          <w:sz w:val="24"/>
          <w:szCs w:val="24"/>
        </w:rPr>
      </w:pPr>
      <w:r w:rsidRPr="00C604A1">
        <w:rPr>
          <w:rFonts w:asciiTheme="majorBidi" w:eastAsia="Calibri" w:hAnsiTheme="majorBidi" w:cstheme="majorBidi"/>
          <w:sz w:val="24"/>
          <w:szCs w:val="24"/>
        </w:rPr>
        <w:t xml:space="preserve">* Corresponding author: </w:t>
      </w:r>
      <w:proofErr w:type="spellStart"/>
      <w:r w:rsidRPr="00C604A1">
        <w:rPr>
          <w:rFonts w:asciiTheme="majorBidi" w:eastAsia="Calibri" w:hAnsiTheme="majorBidi" w:cstheme="majorBidi"/>
          <w:sz w:val="24"/>
          <w:szCs w:val="24"/>
        </w:rPr>
        <w:t>Massoud</w:t>
      </w:r>
      <w:proofErr w:type="spellEnd"/>
      <w:r w:rsidRPr="00C604A1">
        <w:rPr>
          <w:rFonts w:asciiTheme="majorBidi" w:eastAsia="Calibri" w:hAnsiTheme="majorBidi" w:cstheme="majorBidi"/>
          <w:sz w:val="24"/>
          <w:szCs w:val="24"/>
        </w:rPr>
        <w:t xml:space="preserve"> </w:t>
      </w:r>
      <w:proofErr w:type="spellStart"/>
      <w:r w:rsidRPr="00C604A1">
        <w:rPr>
          <w:rFonts w:asciiTheme="majorBidi" w:eastAsia="Calibri" w:hAnsiTheme="majorBidi" w:cstheme="majorBidi"/>
          <w:sz w:val="24"/>
          <w:szCs w:val="24"/>
        </w:rPr>
        <w:t>Amanlou</w:t>
      </w:r>
      <w:proofErr w:type="spellEnd"/>
    </w:p>
    <w:p w:rsidR="00C604A1" w:rsidRPr="00C604A1" w:rsidRDefault="00C604A1" w:rsidP="00C604A1">
      <w:pPr>
        <w:spacing w:line="360" w:lineRule="auto"/>
        <w:jc w:val="both"/>
        <w:rPr>
          <w:rFonts w:asciiTheme="majorBidi" w:eastAsia="Calibri" w:hAnsiTheme="majorBidi" w:cstheme="majorBidi"/>
          <w:sz w:val="24"/>
          <w:szCs w:val="24"/>
        </w:rPr>
      </w:pPr>
      <w:r w:rsidRPr="00C604A1">
        <w:rPr>
          <w:rFonts w:asciiTheme="majorBidi" w:eastAsia="Calibri" w:hAnsiTheme="majorBidi" w:cstheme="majorBidi"/>
          <w:sz w:val="24"/>
          <w:szCs w:val="24"/>
        </w:rPr>
        <w:t xml:space="preserve">Tel: +98-21-66959067 </w:t>
      </w:r>
    </w:p>
    <w:p w:rsidR="00C604A1" w:rsidRPr="00C604A1" w:rsidRDefault="00C604A1" w:rsidP="00C604A1">
      <w:pPr>
        <w:spacing w:line="360" w:lineRule="auto"/>
        <w:jc w:val="both"/>
        <w:rPr>
          <w:rFonts w:asciiTheme="majorBidi" w:eastAsia="Calibri" w:hAnsiTheme="majorBidi" w:cstheme="majorBidi"/>
          <w:sz w:val="24"/>
          <w:szCs w:val="24"/>
        </w:rPr>
      </w:pPr>
      <w:r w:rsidRPr="00C604A1">
        <w:rPr>
          <w:rFonts w:asciiTheme="majorBidi" w:eastAsia="Calibri" w:hAnsiTheme="majorBidi" w:cstheme="majorBidi"/>
          <w:sz w:val="24"/>
          <w:szCs w:val="24"/>
        </w:rPr>
        <w:t>Fax: +98-21-64121111.</w:t>
      </w:r>
    </w:p>
    <w:p w:rsidR="00C604A1" w:rsidRDefault="00C604A1" w:rsidP="00C604A1">
      <w:pPr>
        <w:pStyle w:val="Default"/>
        <w:spacing w:line="360" w:lineRule="auto"/>
        <w:jc w:val="both"/>
        <w:rPr>
          <w:rFonts w:asciiTheme="majorBidi" w:hAnsiTheme="majorBidi" w:cstheme="majorBidi"/>
          <w:b/>
          <w:bCs/>
          <w:color w:val="000000" w:themeColor="text1"/>
          <w:sz w:val="20"/>
          <w:szCs w:val="20"/>
        </w:rPr>
      </w:pPr>
      <w:r>
        <w:rPr>
          <w:rFonts w:asciiTheme="majorBidi" w:eastAsia="Calibri" w:hAnsiTheme="majorBidi" w:cstheme="majorBidi"/>
          <w:sz w:val="20"/>
          <w:szCs w:val="20"/>
        </w:rPr>
        <w:t xml:space="preserve">E-mail address: </w:t>
      </w:r>
      <w:hyperlink r:id="rId4" w:history="1">
        <w:r>
          <w:rPr>
            <w:rStyle w:val="Hyperlink"/>
            <w:rFonts w:asciiTheme="majorBidi" w:eastAsia="Calibri" w:hAnsiTheme="majorBidi" w:cstheme="majorBidi"/>
            <w:sz w:val="20"/>
            <w:szCs w:val="20"/>
          </w:rPr>
          <w:t>amanlou@tums.ac.ir</w:t>
        </w:r>
      </w:hyperlink>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Default="00C604A1" w:rsidP="00C604A1">
      <w:pPr>
        <w:rPr>
          <w:rFonts w:asciiTheme="majorBidi" w:hAnsiTheme="majorBidi" w:cstheme="majorBidi"/>
          <w:sz w:val="20"/>
          <w:szCs w:val="20"/>
        </w:rPr>
      </w:pPr>
    </w:p>
    <w:p w:rsidR="00C604A1" w:rsidRPr="00C604A1" w:rsidRDefault="00C604A1" w:rsidP="00C604A1">
      <w:pPr>
        <w:pStyle w:val="Default"/>
        <w:spacing w:line="360" w:lineRule="auto"/>
        <w:jc w:val="both"/>
        <w:rPr>
          <w:rFonts w:asciiTheme="majorBidi" w:hAnsiTheme="majorBidi" w:cstheme="majorBidi"/>
          <w:color w:val="000000" w:themeColor="text1"/>
        </w:rPr>
      </w:pPr>
      <w:bookmarkStart w:id="1" w:name="_GoBack"/>
      <w:bookmarkEnd w:id="1"/>
      <w:r w:rsidRPr="00C604A1">
        <w:rPr>
          <w:rFonts w:asciiTheme="majorBidi" w:hAnsiTheme="majorBidi" w:cstheme="majorBidi"/>
          <w:b/>
          <w:bCs/>
          <w:color w:val="000000" w:themeColor="text1"/>
        </w:rPr>
        <w:lastRenderedPageBreak/>
        <w:t xml:space="preserve">ABSTRACT </w:t>
      </w:r>
      <w:r w:rsidRPr="00C604A1">
        <w:rPr>
          <w:rFonts w:asciiTheme="majorBidi" w:hAnsiTheme="majorBidi" w:cstheme="majorBidi"/>
          <w:color w:val="000000" w:themeColor="text1"/>
        </w:rPr>
        <w:t>β</w:t>
      </w:r>
      <w:r w:rsidRPr="00C604A1">
        <w:rPr>
          <w:rStyle w:val="st1"/>
          <w:rFonts w:asciiTheme="majorBidi" w:hAnsiTheme="majorBidi" w:cstheme="majorBidi"/>
          <w:b/>
          <w:bCs/>
          <w:color w:val="000000" w:themeColor="text1"/>
        </w:rPr>
        <w:t>-</w:t>
      </w:r>
      <w:r w:rsidRPr="00C604A1">
        <w:rPr>
          <w:rStyle w:val="st1"/>
          <w:rFonts w:asciiTheme="majorBidi" w:hAnsiTheme="majorBidi" w:cstheme="majorBidi"/>
          <w:color w:val="000000" w:themeColor="text1"/>
        </w:rPr>
        <w:t>secretase 1</w:t>
      </w:r>
      <w:r w:rsidRPr="00C604A1">
        <w:rPr>
          <w:rFonts w:asciiTheme="majorBidi" w:hAnsiTheme="majorBidi" w:cstheme="majorBidi"/>
          <w:color w:val="000000" w:themeColor="text1"/>
        </w:rPr>
        <w:t xml:space="preserve"> (BACE1) play pivotal role in pathology of Alzheimer disease via accumulation Beta amyloid in the brain. In this context, identifying new scaffolds that are able to block BACE1 is of great importance despite all pharmacokinetic drawbacks that peptide-like structures have. </w:t>
      </w:r>
    </w:p>
    <w:p w:rsidR="00C604A1" w:rsidRPr="00C604A1" w:rsidRDefault="00C604A1" w:rsidP="00C604A1">
      <w:pPr>
        <w:pStyle w:val="Default"/>
        <w:spacing w:line="360" w:lineRule="auto"/>
        <w:jc w:val="both"/>
        <w:rPr>
          <w:rFonts w:asciiTheme="majorBidi" w:hAnsiTheme="majorBidi" w:cstheme="majorBidi"/>
          <w:color w:val="000000" w:themeColor="text1"/>
        </w:rPr>
      </w:pPr>
      <w:r w:rsidRPr="00C604A1">
        <w:rPr>
          <w:rFonts w:asciiTheme="majorBidi" w:hAnsiTheme="majorBidi" w:cstheme="majorBidi"/>
          <w:color w:val="000000" w:themeColor="text1"/>
        </w:rPr>
        <w:t xml:space="preserve">Here, we report a new </w:t>
      </w:r>
      <w:r w:rsidRPr="00C604A1">
        <w:rPr>
          <w:rFonts w:asciiTheme="majorBidi" w:eastAsia="Times New Roman" w:hAnsiTheme="majorBidi" w:cstheme="majorBidi"/>
          <w:color w:val="000000" w:themeColor="text1"/>
        </w:rPr>
        <w:t>core structure based on novel unusual amino acids</w:t>
      </w:r>
      <w:r w:rsidRPr="00C604A1">
        <w:rPr>
          <w:rFonts w:asciiTheme="majorBidi" w:hAnsiTheme="majorBidi" w:cstheme="majorBidi"/>
          <w:color w:val="000000" w:themeColor="text1"/>
        </w:rPr>
        <w:t xml:space="preserve"> by substituting phenyl amide group in the P1 position and small alkyl groups in the P1</w:t>
      </w:r>
      <w:r w:rsidRPr="00C604A1">
        <w:rPr>
          <w:rFonts w:asciiTheme="majorBidi" w:hAnsiTheme="majorBidi" w:cstheme="majorBidi"/>
          <w:color w:val="000000" w:themeColor="text1"/>
          <w:vertAlign w:val="superscript"/>
        </w:rPr>
        <w:t>'</w:t>
      </w:r>
      <w:r w:rsidRPr="00C604A1">
        <w:rPr>
          <w:rFonts w:asciiTheme="majorBidi" w:hAnsiTheme="majorBidi" w:cstheme="majorBidi"/>
          <w:color w:val="000000" w:themeColor="text1"/>
        </w:rPr>
        <w:t xml:space="preserve"> site that results in the formation of new biological active peptides in </w:t>
      </w:r>
      <w:proofErr w:type="spellStart"/>
      <w:r w:rsidRPr="00C604A1">
        <w:rPr>
          <w:rFonts w:asciiTheme="majorBidi" w:hAnsiTheme="majorBidi" w:cstheme="majorBidi"/>
          <w:color w:val="000000" w:themeColor="text1"/>
        </w:rPr>
        <w:t>micromolar</w:t>
      </w:r>
      <w:proofErr w:type="spellEnd"/>
      <w:r w:rsidRPr="00C604A1">
        <w:rPr>
          <w:rFonts w:asciiTheme="majorBidi" w:hAnsiTheme="majorBidi" w:cstheme="majorBidi"/>
          <w:color w:val="000000" w:themeColor="text1"/>
        </w:rPr>
        <w:t xml:space="preserve"> level. Three different scaffolds were designed based on docking studies to</w:t>
      </w:r>
      <w:r w:rsidRPr="00C604A1">
        <w:rPr>
          <w:rFonts w:asciiTheme="majorBidi" w:hAnsiTheme="majorBidi" w:cstheme="majorBidi"/>
          <w:color w:val="FF0000"/>
        </w:rPr>
        <w:t xml:space="preserve"> </w:t>
      </w:r>
      <w:r w:rsidRPr="00C604A1">
        <w:rPr>
          <w:rFonts w:asciiTheme="majorBidi" w:hAnsiTheme="majorBidi" w:cstheme="majorBidi"/>
          <w:color w:val="000000" w:themeColor="text1"/>
        </w:rPr>
        <w:t xml:space="preserve">efficiently interact with critical Asp32 residue in the active site of BACE1 and incorporated in peptides synthesis by </w:t>
      </w:r>
      <w:proofErr w:type="spellStart"/>
      <w:r w:rsidRPr="00C604A1">
        <w:rPr>
          <w:rFonts w:asciiTheme="majorBidi" w:hAnsiTheme="majorBidi" w:cstheme="majorBidi"/>
          <w:color w:val="000000" w:themeColor="text1"/>
        </w:rPr>
        <w:t>Fmoc</w:t>
      </w:r>
      <w:proofErr w:type="spellEnd"/>
      <w:r w:rsidRPr="00C604A1">
        <w:rPr>
          <w:rFonts w:asciiTheme="majorBidi" w:hAnsiTheme="majorBidi" w:cstheme="majorBidi"/>
          <w:color w:val="000000" w:themeColor="text1"/>
        </w:rPr>
        <w:t xml:space="preserve"> solid-phase peptide synthesis (SPPS) methodology to achieve desired compounds in good yield. The inhibitory activity of all synthetized peptides were examined by FRET-based enzymatic assay. The compound </w:t>
      </w:r>
      <w:r w:rsidRPr="00C604A1">
        <w:rPr>
          <w:rFonts w:asciiTheme="majorBidi" w:hAnsiTheme="majorBidi" w:cstheme="majorBidi"/>
          <w:b/>
          <w:bCs/>
          <w:color w:val="000000" w:themeColor="text1"/>
        </w:rPr>
        <w:t xml:space="preserve">11 </w:t>
      </w:r>
      <w:r w:rsidRPr="00C604A1">
        <w:rPr>
          <w:rFonts w:asciiTheme="majorBidi" w:hAnsiTheme="majorBidi" w:cstheme="majorBidi"/>
          <w:color w:val="000000" w:themeColor="text1"/>
        </w:rPr>
        <w:t>showed the best inhibitory activity with IC</w:t>
      </w:r>
      <w:r w:rsidRPr="00C604A1">
        <w:rPr>
          <w:rFonts w:asciiTheme="majorBidi" w:hAnsiTheme="majorBidi" w:cstheme="majorBidi"/>
          <w:color w:val="000000" w:themeColor="text1"/>
          <w:vertAlign w:val="subscript"/>
        </w:rPr>
        <w:t xml:space="preserve">50 </w:t>
      </w:r>
      <w:r w:rsidRPr="00C604A1">
        <w:rPr>
          <w:rFonts w:asciiTheme="majorBidi" w:hAnsiTheme="majorBidi" w:cstheme="majorBidi"/>
          <w:color w:val="000000" w:themeColor="text1"/>
        </w:rPr>
        <w:t xml:space="preserve">= 98.14 µM. </w:t>
      </w:r>
    </w:p>
    <w:p w:rsidR="00C604A1" w:rsidRPr="00C604A1" w:rsidRDefault="00C604A1" w:rsidP="00C604A1">
      <w:pPr>
        <w:pStyle w:val="Default"/>
        <w:spacing w:line="360" w:lineRule="auto"/>
        <w:jc w:val="both"/>
        <w:rPr>
          <w:rFonts w:asciiTheme="majorBidi" w:hAnsiTheme="majorBidi" w:cstheme="majorBidi"/>
          <w:color w:val="FF0000"/>
        </w:rPr>
      </w:pPr>
      <w:r w:rsidRPr="00C604A1">
        <w:rPr>
          <w:rFonts w:asciiTheme="majorBidi" w:hAnsiTheme="majorBidi" w:cstheme="majorBidi"/>
          <w:color w:val="000000" w:themeColor="text1"/>
        </w:rPr>
        <w:t xml:space="preserve">Coming up with practical procedures to synthesize unusual amino acids as building blocks of </w:t>
      </w:r>
      <w:proofErr w:type="spellStart"/>
      <w:r w:rsidRPr="00C604A1">
        <w:rPr>
          <w:rFonts w:asciiTheme="majorBidi" w:hAnsiTheme="majorBidi" w:cstheme="majorBidi"/>
          <w:color w:val="000000" w:themeColor="text1"/>
        </w:rPr>
        <w:t>peptidomimetics</w:t>
      </w:r>
      <w:proofErr w:type="spellEnd"/>
      <w:r w:rsidRPr="00C604A1">
        <w:rPr>
          <w:rFonts w:asciiTheme="majorBidi" w:hAnsiTheme="majorBidi" w:cstheme="majorBidi"/>
          <w:color w:val="000000" w:themeColor="text1"/>
        </w:rPr>
        <w:t xml:space="preserve"> and expand utilizing them in combinatorial chemistry has been a field of interest</w:t>
      </w:r>
      <w:r w:rsidRPr="00C604A1">
        <w:rPr>
          <w:rFonts w:asciiTheme="majorBidi" w:hAnsiTheme="majorBidi" w:cstheme="majorBidi"/>
          <w:color w:val="FF0000"/>
        </w:rPr>
        <w:t>.</w:t>
      </w:r>
    </w:p>
    <w:p w:rsidR="00C604A1" w:rsidRPr="00C604A1" w:rsidRDefault="00C604A1" w:rsidP="00C604A1">
      <w:pPr>
        <w:autoSpaceDE w:val="0"/>
        <w:autoSpaceDN w:val="0"/>
        <w:adjustRightInd w:val="0"/>
        <w:spacing w:after="0" w:line="360" w:lineRule="auto"/>
        <w:contextualSpacing/>
        <w:jc w:val="both"/>
        <w:rPr>
          <w:rFonts w:asciiTheme="majorBidi" w:hAnsiTheme="majorBidi" w:cstheme="majorBidi"/>
          <w:color w:val="FF0000"/>
          <w:sz w:val="24"/>
          <w:szCs w:val="24"/>
        </w:rPr>
      </w:pPr>
    </w:p>
    <w:p w:rsidR="00C604A1" w:rsidRPr="00C604A1" w:rsidRDefault="00C604A1" w:rsidP="00C604A1">
      <w:pPr>
        <w:autoSpaceDE w:val="0"/>
        <w:autoSpaceDN w:val="0"/>
        <w:adjustRightInd w:val="0"/>
        <w:spacing w:after="0" w:line="360" w:lineRule="auto"/>
        <w:contextualSpacing/>
        <w:jc w:val="both"/>
        <w:rPr>
          <w:rFonts w:asciiTheme="majorBidi" w:hAnsiTheme="majorBidi" w:cstheme="majorBidi"/>
          <w:sz w:val="24"/>
          <w:szCs w:val="24"/>
        </w:rPr>
      </w:pPr>
      <w:r w:rsidRPr="00C604A1">
        <w:rPr>
          <w:rFonts w:asciiTheme="majorBidi" w:hAnsiTheme="majorBidi" w:cstheme="majorBidi"/>
          <w:b/>
          <w:bCs/>
          <w:color w:val="000000" w:themeColor="text1"/>
          <w:sz w:val="24"/>
          <w:szCs w:val="24"/>
        </w:rPr>
        <w:t>Keywords:</w:t>
      </w:r>
      <w:r w:rsidRPr="00C604A1">
        <w:rPr>
          <w:rFonts w:asciiTheme="majorBidi" w:hAnsiTheme="majorBidi" w:cstheme="majorBidi"/>
          <w:color w:val="000000" w:themeColor="text1"/>
          <w:sz w:val="24"/>
          <w:szCs w:val="24"/>
        </w:rPr>
        <w:t xml:space="preserve"> BACE-1. Synthesis. </w:t>
      </w:r>
      <w:proofErr w:type="spellStart"/>
      <w:r w:rsidRPr="00C604A1">
        <w:rPr>
          <w:rFonts w:asciiTheme="majorBidi" w:hAnsiTheme="majorBidi" w:cstheme="majorBidi"/>
          <w:color w:val="000000" w:themeColor="text1"/>
          <w:sz w:val="24"/>
          <w:szCs w:val="24"/>
        </w:rPr>
        <w:t>Peptidomimeitic</w:t>
      </w:r>
      <w:proofErr w:type="spellEnd"/>
      <w:r w:rsidRPr="00C604A1">
        <w:rPr>
          <w:rFonts w:asciiTheme="majorBidi" w:hAnsiTheme="majorBidi" w:cstheme="majorBidi"/>
          <w:color w:val="000000" w:themeColor="text1"/>
          <w:sz w:val="24"/>
          <w:szCs w:val="24"/>
        </w:rPr>
        <w:t>. Unusual amino acids</w:t>
      </w:r>
    </w:p>
    <w:p w:rsidR="008B7BAC" w:rsidRPr="00C604A1" w:rsidRDefault="008B7BAC">
      <w:pPr>
        <w:rPr>
          <w:rFonts w:hint="cs"/>
          <w:sz w:val="24"/>
          <w:szCs w:val="24"/>
        </w:rPr>
      </w:pPr>
    </w:p>
    <w:sectPr w:rsidR="008B7BAC" w:rsidRPr="00C604A1" w:rsidSect="009E3BD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7B"/>
    <w:rsid w:val="008B7BAC"/>
    <w:rsid w:val="009E3BD7"/>
    <w:rsid w:val="00C604A1"/>
    <w:rsid w:val="00E85A7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35BF"/>
  <w15:chartTrackingRefBased/>
  <w15:docId w15:val="{3CE66B5E-D21E-4938-88BD-1EF9E80D0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4A1"/>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604A1"/>
    <w:rPr>
      <w:color w:val="0000FF"/>
      <w:u w:val="single"/>
    </w:rPr>
  </w:style>
  <w:style w:type="paragraph" w:customStyle="1" w:styleId="Default">
    <w:name w:val="Default"/>
    <w:rsid w:val="00C604A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1">
    <w:name w:val="st1"/>
    <w:basedOn w:val="DefaultParagraphFont"/>
    <w:rsid w:val="00C60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manlou@tums.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2019-04-15T15:35:00Z</dcterms:created>
  <dcterms:modified xsi:type="dcterms:W3CDTF">2019-04-15T15:35:00Z</dcterms:modified>
</cp:coreProperties>
</file>