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0B4" w:rsidRPr="006C30B4" w:rsidRDefault="006C30B4" w:rsidP="006C30B4">
      <w:pPr>
        <w:spacing w:line="256" w:lineRule="auto"/>
        <w:jc w:val="center"/>
        <w:rPr>
          <w:rFonts w:ascii="Times New Roman" w:eastAsia="Times New Roman" w:hAnsi="Times New Roman" w:cs="Times New Roman"/>
          <w:b/>
          <w:bCs/>
          <w:color w:val="000000"/>
          <w:sz w:val="28"/>
          <w:szCs w:val="28"/>
          <w:lang w:bidi="fa-IR"/>
        </w:rPr>
      </w:pPr>
      <w:r w:rsidRPr="00870AEE">
        <w:rPr>
          <w:rFonts w:ascii="Times New Roman" w:eastAsia="Times New Roman" w:hAnsi="Times New Roman" w:cs="Times New Roman"/>
          <w:b/>
          <w:bCs/>
          <w:color w:val="000000"/>
          <w:sz w:val="28"/>
          <w:szCs w:val="28"/>
          <w:lang w:bidi="fa-IR"/>
        </w:rPr>
        <w:t>A review on biophysical studies of the effect of pesticides on the structural changes of HSA protein via experimental and computational methods</w:t>
      </w:r>
    </w:p>
    <w:p w:rsidR="006C30B4" w:rsidRPr="006C30B4" w:rsidRDefault="006C30B4" w:rsidP="00EE70E3">
      <w:pPr>
        <w:spacing w:line="360" w:lineRule="auto"/>
        <w:jc w:val="center"/>
        <w:rPr>
          <w:rFonts w:ascii="Times New Roman" w:hAnsi="Times New Roman" w:cs="Times New Roman"/>
          <w:b/>
          <w:bCs/>
          <w:sz w:val="24"/>
          <w:szCs w:val="24"/>
          <w:u w:val="single"/>
          <w:lang w:bidi="fa-IR"/>
        </w:rPr>
      </w:pPr>
      <w:proofErr w:type="spellStart"/>
      <w:r w:rsidRPr="006C30B4">
        <w:rPr>
          <w:rFonts w:ascii="Times New Roman" w:hAnsi="Times New Roman" w:cs="Times New Roman"/>
          <w:b/>
          <w:bCs/>
          <w:color w:val="000000"/>
          <w:sz w:val="24"/>
          <w:szCs w:val="24"/>
        </w:rPr>
        <w:t>Shahrzad</w:t>
      </w:r>
      <w:proofErr w:type="spellEnd"/>
      <w:r w:rsidRPr="006C30B4">
        <w:rPr>
          <w:rFonts w:ascii="Times New Roman" w:hAnsi="Times New Roman" w:cs="Times New Roman"/>
          <w:b/>
          <w:bCs/>
          <w:color w:val="000000"/>
          <w:sz w:val="24"/>
          <w:szCs w:val="24"/>
        </w:rPr>
        <w:t xml:space="preserve"> </w:t>
      </w:r>
      <w:proofErr w:type="spellStart"/>
      <w:r w:rsidRPr="006C30B4">
        <w:rPr>
          <w:rFonts w:ascii="Times New Roman" w:hAnsi="Times New Roman" w:cs="Times New Roman"/>
          <w:b/>
          <w:bCs/>
          <w:color w:val="000000"/>
          <w:sz w:val="24"/>
          <w:szCs w:val="24"/>
        </w:rPr>
        <w:t>Hadichegeni</w:t>
      </w:r>
      <w:r w:rsidRPr="006C30B4">
        <w:rPr>
          <w:rFonts w:ascii="Times New Roman" w:hAnsi="Times New Roman" w:cs="Times New Roman"/>
          <w:b/>
          <w:bCs/>
          <w:color w:val="000000"/>
          <w:sz w:val="24"/>
          <w:szCs w:val="24"/>
          <w:vertAlign w:val="superscript"/>
        </w:rPr>
        <w:t>a</w:t>
      </w:r>
      <w:proofErr w:type="spellEnd"/>
      <w:r w:rsidRPr="006C30B4">
        <w:rPr>
          <w:rFonts w:ascii="Times New Roman" w:hAnsi="Times New Roman" w:cs="Times New Roman"/>
          <w:b/>
          <w:bCs/>
          <w:color w:val="000000"/>
          <w:sz w:val="24"/>
          <w:szCs w:val="24"/>
        </w:rPr>
        <w:t xml:space="preserve">, Mohammad </w:t>
      </w:r>
      <w:proofErr w:type="spellStart"/>
      <w:r w:rsidRPr="006C30B4">
        <w:rPr>
          <w:rFonts w:ascii="Times New Roman" w:hAnsi="Times New Roman" w:cs="Times New Roman"/>
          <w:b/>
          <w:bCs/>
          <w:color w:val="000000"/>
          <w:sz w:val="24"/>
          <w:szCs w:val="24"/>
        </w:rPr>
        <w:t>Taghizadeh</w:t>
      </w:r>
      <w:r w:rsidRPr="006C30B4">
        <w:rPr>
          <w:rFonts w:ascii="Times New Roman" w:hAnsi="Times New Roman" w:cs="Times New Roman"/>
          <w:b/>
          <w:bCs/>
          <w:color w:val="000000"/>
          <w:sz w:val="24"/>
          <w:szCs w:val="24"/>
          <w:vertAlign w:val="superscript"/>
        </w:rPr>
        <w:t>b</w:t>
      </w:r>
      <w:proofErr w:type="spellEnd"/>
      <w:r w:rsidRPr="006C30B4">
        <w:rPr>
          <w:rFonts w:ascii="Times New Roman" w:hAnsi="Times New Roman" w:cs="Times New Roman"/>
          <w:b/>
          <w:bCs/>
          <w:color w:val="000000"/>
          <w:sz w:val="24"/>
          <w:szCs w:val="24"/>
        </w:rPr>
        <w:t xml:space="preserve">, </w:t>
      </w:r>
      <w:proofErr w:type="spellStart"/>
      <w:r w:rsidRPr="006C30B4">
        <w:rPr>
          <w:rFonts w:ascii="Times New Roman" w:hAnsi="Times New Roman" w:cs="Times New Roman"/>
          <w:b/>
          <w:bCs/>
          <w:color w:val="000000"/>
          <w:sz w:val="24"/>
          <w:szCs w:val="24"/>
        </w:rPr>
        <w:t>Bahram</w:t>
      </w:r>
      <w:proofErr w:type="spellEnd"/>
      <w:r w:rsidRPr="006C30B4">
        <w:rPr>
          <w:rFonts w:ascii="Times New Roman" w:hAnsi="Times New Roman" w:cs="Times New Roman"/>
          <w:b/>
          <w:bCs/>
          <w:color w:val="000000"/>
          <w:sz w:val="24"/>
          <w:szCs w:val="24"/>
        </w:rPr>
        <w:t xml:space="preserve"> </w:t>
      </w:r>
      <w:proofErr w:type="spellStart"/>
      <w:r w:rsidRPr="006C30B4">
        <w:rPr>
          <w:rFonts w:ascii="Times New Roman" w:hAnsi="Times New Roman" w:cs="Times New Roman"/>
          <w:b/>
          <w:bCs/>
          <w:color w:val="000000"/>
          <w:sz w:val="24"/>
          <w:szCs w:val="24"/>
        </w:rPr>
        <w:t>Goliaei</w:t>
      </w:r>
      <w:r w:rsidRPr="006C30B4">
        <w:rPr>
          <w:rFonts w:ascii="Times New Roman" w:hAnsi="Times New Roman" w:cs="Times New Roman"/>
          <w:b/>
          <w:bCs/>
          <w:color w:val="000000"/>
          <w:sz w:val="24"/>
          <w:szCs w:val="24"/>
          <w:vertAlign w:val="superscript"/>
        </w:rPr>
        <w:t>c</w:t>
      </w:r>
      <w:proofErr w:type="spellEnd"/>
      <w:r w:rsidRPr="006C30B4">
        <w:rPr>
          <w:rFonts w:ascii="Candara" w:hAnsi="Candara" w:cs="Times New Roman"/>
          <w:b/>
          <w:bCs/>
          <w:color w:val="000000"/>
          <w:sz w:val="24"/>
          <w:szCs w:val="24"/>
          <w:vertAlign w:val="superscript"/>
        </w:rPr>
        <w:t>*</w:t>
      </w:r>
    </w:p>
    <w:p w:rsidR="006C30B4" w:rsidRPr="006C30B4" w:rsidRDefault="006C30B4" w:rsidP="00D819D5">
      <w:pPr>
        <w:spacing w:after="0" w:line="360" w:lineRule="auto"/>
        <w:ind w:left="-142"/>
        <w:jc w:val="both"/>
        <w:rPr>
          <w:rFonts w:ascii="Times New Roman" w:hAnsi="Times New Roman" w:cs="Times New Roman"/>
          <w:color w:val="000000"/>
          <w:sz w:val="24"/>
          <w:szCs w:val="24"/>
        </w:rPr>
      </w:pPr>
      <w:proofErr w:type="gramStart"/>
      <w:r w:rsidRPr="006C30B4">
        <w:rPr>
          <w:rFonts w:ascii="Times New Roman" w:hAnsi="Times New Roman" w:cs="Times New Roman"/>
          <w:color w:val="000000"/>
          <w:sz w:val="24"/>
          <w:szCs w:val="24"/>
          <w:vertAlign w:val="superscript"/>
        </w:rPr>
        <w:t>a</w:t>
      </w:r>
      <w:proofErr w:type="gramEnd"/>
      <w:r w:rsidRPr="006C30B4">
        <w:rPr>
          <w:rFonts w:ascii="Times New Roman" w:hAnsi="Times New Roman" w:cs="Times New Roman"/>
          <w:color w:val="000000"/>
          <w:sz w:val="24"/>
          <w:szCs w:val="24"/>
        </w:rPr>
        <w:t xml:space="preserve"> Department of Biophysics, Islamic Azad University, Science and Research Branch, Tehran, Iran</w:t>
      </w:r>
    </w:p>
    <w:p w:rsidR="006C30B4" w:rsidRPr="006C30B4" w:rsidRDefault="006C30B4" w:rsidP="00D819D5">
      <w:pPr>
        <w:spacing w:after="0" w:line="360" w:lineRule="auto"/>
        <w:ind w:left="-142"/>
        <w:jc w:val="both"/>
        <w:rPr>
          <w:rFonts w:ascii="Times New Roman" w:hAnsi="Times New Roman" w:cs="Times New Roman"/>
          <w:color w:val="000000"/>
          <w:sz w:val="24"/>
          <w:szCs w:val="24"/>
          <w:vertAlign w:val="superscript"/>
        </w:rPr>
      </w:pPr>
      <w:r w:rsidRPr="006C30B4">
        <w:rPr>
          <w:rFonts w:ascii="Times New Roman" w:hAnsi="Times New Roman" w:cs="Times New Roman"/>
          <w:color w:val="000000"/>
          <w:sz w:val="24"/>
          <w:szCs w:val="24"/>
          <w:vertAlign w:val="superscript"/>
        </w:rPr>
        <w:t xml:space="preserve">b </w:t>
      </w:r>
      <w:r w:rsidRPr="006C30B4">
        <w:rPr>
          <w:rFonts w:ascii="Times New Roman" w:hAnsi="Times New Roman" w:cs="Times New Roman"/>
          <w:color w:val="000000"/>
          <w:sz w:val="24"/>
          <w:szCs w:val="24"/>
        </w:rPr>
        <w:t>Department of Cell and Molecular Biology, Faculty of Advance Science and Technology, Pharmaceutical Sciences Branch, Islamic Azad University , Tehran, Iran (IAUPS)</w:t>
      </w:r>
      <w:r w:rsidRPr="006C30B4">
        <w:rPr>
          <w:rFonts w:ascii="Times New Roman" w:hAnsi="Times New Roman" w:cs="Times New Roman"/>
          <w:color w:val="000000"/>
          <w:sz w:val="24"/>
          <w:szCs w:val="24"/>
          <w:vertAlign w:val="superscript"/>
        </w:rPr>
        <w:t xml:space="preserve"> </w:t>
      </w:r>
    </w:p>
    <w:p w:rsidR="00D819D5" w:rsidRPr="003567D6" w:rsidRDefault="006C30B4" w:rsidP="003567D6">
      <w:pPr>
        <w:spacing w:after="0" w:line="360" w:lineRule="auto"/>
        <w:ind w:left="-142"/>
        <w:jc w:val="both"/>
        <w:rPr>
          <w:rFonts w:ascii="Times New Roman" w:hAnsi="Times New Roman" w:cs="Times New Roman"/>
          <w:color w:val="000000"/>
          <w:sz w:val="24"/>
          <w:szCs w:val="24"/>
        </w:rPr>
      </w:pPr>
      <w:proofErr w:type="gramStart"/>
      <w:r w:rsidRPr="006C30B4">
        <w:rPr>
          <w:rFonts w:ascii="Times New Roman" w:hAnsi="Times New Roman" w:cs="Times New Roman"/>
          <w:color w:val="000000"/>
          <w:sz w:val="24"/>
          <w:szCs w:val="24"/>
          <w:vertAlign w:val="superscript"/>
        </w:rPr>
        <w:t>c</w:t>
      </w:r>
      <w:proofErr w:type="gramEnd"/>
      <w:r w:rsidRPr="006C30B4">
        <w:rPr>
          <w:rFonts w:ascii="Times New Roman" w:hAnsi="Times New Roman" w:cs="Times New Roman"/>
          <w:color w:val="000000"/>
          <w:sz w:val="24"/>
          <w:szCs w:val="24"/>
          <w:vertAlign w:val="superscript"/>
        </w:rPr>
        <w:t xml:space="preserve"> </w:t>
      </w:r>
      <w:r w:rsidRPr="006C30B4">
        <w:rPr>
          <w:rFonts w:ascii="Times New Roman" w:hAnsi="Times New Roman" w:cs="Times New Roman"/>
          <w:color w:val="000000"/>
          <w:sz w:val="24"/>
          <w:szCs w:val="24"/>
        </w:rPr>
        <w:t>Department of Biophysics, Institute of Biochemistry and Biophysics (IBB), Tehran University, Tehran, Iran</w:t>
      </w:r>
    </w:p>
    <w:p w:rsidR="00EE70E3" w:rsidRPr="006C30B4" w:rsidRDefault="005651D8" w:rsidP="006C30B4">
      <w:pPr>
        <w:spacing w:line="360" w:lineRule="auto"/>
        <w:jc w:val="center"/>
        <w:rPr>
          <w:rFonts w:ascii="Times New Roman" w:hAnsi="Times New Roman" w:cs="Times New Roman"/>
          <w:b/>
          <w:bCs/>
          <w:sz w:val="24"/>
          <w:szCs w:val="24"/>
          <w:lang w:bidi="fa-IR"/>
        </w:rPr>
      </w:pPr>
      <w:r w:rsidRPr="006C30B4">
        <w:rPr>
          <w:rFonts w:ascii="Times New Roman" w:hAnsi="Times New Roman" w:cs="Times New Roman"/>
          <w:b/>
          <w:bCs/>
          <w:sz w:val="24"/>
          <w:szCs w:val="24"/>
          <w:lang w:bidi="fa-IR"/>
        </w:rPr>
        <w:t>ABSTRACT</w:t>
      </w:r>
    </w:p>
    <w:p w:rsidR="00631DE7" w:rsidRDefault="00241FCA" w:rsidP="00732E18">
      <w:pPr>
        <w:autoSpaceDE w:val="0"/>
        <w:autoSpaceDN w:val="0"/>
        <w:adjustRightInd w:val="0"/>
        <w:spacing w:after="0" w:line="360" w:lineRule="auto"/>
        <w:jc w:val="both"/>
        <w:rPr>
          <w:rFonts w:asciiTheme="majorBidi" w:eastAsia="Times New Roman" w:hAnsiTheme="majorBidi" w:cstheme="majorBidi"/>
          <w:sz w:val="24"/>
          <w:szCs w:val="24"/>
          <w:bdr w:val="none" w:sz="0" w:space="0" w:color="auto" w:frame="1"/>
        </w:rPr>
      </w:pPr>
      <w:r>
        <w:rPr>
          <w:rFonts w:asciiTheme="majorBidi" w:hAnsiTheme="majorBidi" w:cstheme="majorBidi"/>
          <w:sz w:val="24"/>
          <w:szCs w:val="24"/>
        </w:rPr>
        <w:t xml:space="preserve"> </w:t>
      </w:r>
      <w:r w:rsidR="006C30B4" w:rsidRPr="006C30B4">
        <w:rPr>
          <w:rFonts w:asciiTheme="majorBidi" w:hAnsiTheme="majorBidi" w:cstheme="majorBidi"/>
          <w:sz w:val="24"/>
          <w:szCs w:val="24"/>
        </w:rPr>
        <w:t xml:space="preserve">Human serum albumin (HSA) is </w:t>
      </w:r>
      <w:r w:rsidR="006C30B4" w:rsidRPr="006C30B4">
        <w:rPr>
          <w:rFonts w:asciiTheme="majorBidi" w:hAnsiTheme="majorBidi" w:cstheme="majorBidi"/>
          <w:color w:val="000000"/>
          <w:sz w:val="24"/>
          <w:szCs w:val="24"/>
          <w:shd w:val="clear" w:color="auto" w:fill="FFFFFF"/>
        </w:rPr>
        <w:t>one of the most abundant proteins </w:t>
      </w:r>
      <w:r w:rsidR="006C30B4" w:rsidRPr="006C30B4">
        <w:rPr>
          <w:rFonts w:asciiTheme="majorBidi" w:hAnsiTheme="majorBidi" w:cstheme="majorBidi"/>
          <w:sz w:val="24"/>
          <w:szCs w:val="24"/>
        </w:rPr>
        <w:t>in the blood vascular system which regulates the transportation and of many chemical compounds and molecules. Some substances induce structural changes in HSA proteins by binding to them. Many investigations have been proved that the agricultural pesticides have a clinical effect on the human proteins. This review covers the studies about the effects of pesticides on the molecular structure of</w:t>
      </w:r>
      <w:r w:rsidR="006C30B4" w:rsidRPr="006C30B4">
        <w:rPr>
          <w:rFonts w:asciiTheme="majorBidi" w:hAnsiTheme="majorBidi" w:cstheme="majorBidi"/>
          <w:sz w:val="24"/>
          <w:szCs w:val="24"/>
          <w:lang w:bidi="fa-IR"/>
        </w:rPr>
        <w:t xml:space="preserve"> HSA protein.</w:t>
      </w:r>
      <w:r w:rsidR="006C30B4" w:rsidRPr="006C30B4">
        <w:rPr>
          <w:rFonts w:asciiTheme="majorBidi" w:hAnsiTheme="majorBidi" w:cstheme="majorBidi"/>
          <w:sz w:val="24"/>
          <w:szCs w:val="24"/>
        </w:rPr>
        <w:t xml:space="preserve"> Insecticides, herbicides and fungicides as three groups of pesticides were studied in this review. Given the close relationship between HSA biological activities in its secondary molecular structure, the most of the articles analyzed the secondary molecular structures of the HSA via various biophysical methods such as FT-IR, CD and computational analysis</w:t>
      </w:r>
      <w:r w:rsidR="00C54E23">
        <w:rPr>
          <w:rFonts w:asciiTheme="majorBidi" w:hAnsiTheme="majorBidi" w:cstheme="majorBidi"/>
          <w:sz w:val="24"/>
          <w:szCs w:val="24"/>
        </w:rPr>
        <w:t xml:space="preserve">. </w:t>
      </w:r>
      <w:r w:rsidR="00732E18" w:rsidRPr="00732E18">
        <w:rPr>
          <w:rFonts w:asciiTheme="majorBidi" w:hAnsiTheme="majorBidi" w:cstheme="majorBidi"/>
          <w:sz w:val="24"/>
          <w:szCs w:val="24"/>
        </w:rPr>
        <w:t>In the most reports, a reduction in the structure of α-helix and an increase in other secondary structures (β-sheet, β-anti, and random (r) coils) observed. In these studies, it was proved that the pesticides interact with HSA through hydrophobic</w:t>
      </w:r>
      <w:r w:rsidR="00333C53">
        <w:rPr>
          <w:rFonts w:asciiTheme="majorBidi" w:hAnsiTheme="majorBidi" w:cstheme="majorBidi"/>
          <w:sz w:val="24"/>
          <w:szCs w:val="24"/>
        </w:rPr>
        <w:t>, electrostatic</w:t>
      </w:r>
      <w:bookmarkStart w:id="0" w:name="_GoBack"/>
      <w:bookmarkEnd w:id="0"/>
      <w:r w:rsidR="00732E18" w:rsidRPr="00732E18">
        <w:rPr>
          <w:rFonts w:asciiTheme="majorBidi" w:hAnsiTheme="majorBidi" w:cstheme="majorBidi"/>
          <w:sz w:val="24"/>
          <w:szCs w:val="24"/>
        </w:rPr>
        <w:t xml:space="preserve"> interaction</w:t>
      </w:r>
      <w:r w:rsidR="00333C53">
        <w:rPr>
          <w:rFonts w:asciiTheme="majorBidi" w:hAnsiTheme="majorBidi" w:cstheme="majorBidi"/>
          <w:sz w:val="24"/>
          <w:szCs w:val="24"/>
        </w:rPr>
        <w:t>s</w:t>
      </w:r>
      <w:r w:rsidR="00732E18" w:rsidRPr="00732E18">
        <w:rPr>
          <w:rFonts w:asciiTheme="majorBidi" w:hAnsiTheme="majorBidi" w:cstheme="majorBidi"/>
          <w:sz w:val="24"/>
          <w:szCs w:val="24"/>
        </w:rPr>
        <w:t xml:space="preserve"> and hydrogen bonding.</w:t>
      </w:r>
      <w:r w:rsidR="00732E18">
        <w:rPr>
          <w:rFonts w:asciiTheme="majorBidi" w:hAnsiTheme="majorBidi" w:cstheme="majorBidi"/>
          <w:sz w:val="24"/>
          <w:szCs w:val="24"/>
        </w:rPr>
        <w:t xml:space="preserve"> </w:t>
      </w:r>
      <w:r w:rsidR="0097345F" w:rsidRPr="0097345F">
        <w:rPr>
          <w:rFonts w:asciiTheme="majorBidi" w:hAnsiTheme="majorBidi" w:cstheme="majorBidi"/>
          <w:sz w:val="24"/>
          <w:szCs w:val="24"/>
        </w:rPr>
        <w:t>These interactions take place in subdomain IIA (Site 1) of HSA</w:t>
      </w:r>
      <w:r w:rsidR="0097345F">
        <w:rPr>
          <w:rFonts w:asciiTheme="majorBidi" w:hAnsiTheme="majorBidi" w:cstheme="majorBidi"/>
          <w:sz w:val="24"/>
          <w:szCs w:val="24"/>
        </w:rPr>
        <w:t xml:space="preserve">. </w:t>
      </w:r>
      <w:r w:rsidR="00713912">
        <w:rPr>
          <w:rFonts w:asciiTheme="majorBidi" w:eastAsia="Times New Roman" w:hAnsiTheme="majorBidi" w:cstheme="majorBidi"/>
          <w:sz w:val="24"/>
          <w:szCs w:val="24"/>
          <w:bdr w:val="none" w:sz="0" w:space="0" w:color="auto" w:frame="1"/>
        </w:rPr>
        <w:t>The changes around the single tryptophan residue of HSA</w:t>
      </w:r>
      <w:r w:rsidR="00713912">
        <w:rPr>
          <w:rFonts w:asciiTheme="majorBidi" w:eastAsia="Times New Roman" w:hAnsiTheme="majorBidi" w:cstheme="majorBidi"/>
          <w:sz w:val="24"/>
          <w:szCs w:val="24"/>
          <w:bdr w:val="none" w:sz="0" w:space="0" w:color="auto" w:frame="1"/>
          <w:rtl/>
        </w:rPr>
        <w:t xml:space="preserve"> </w:t>
      </w:r>
      <w:r w:rsidR="00713912">
        <w:rPr>
          <w:rFonts w:asciiTheme="majorBidi" w:eastAsia="Times New Roman" w:hAnsiTheme="majorBidi" w:cstheme="majorBidi"/>
          <w:sz w:val="24"/>
          <w:szCs w:val="24"/>
          <w:bdr w:val="none" w:sz="0" w:space="0" w:color="auto" w:frame="1"/>
        </w:rPr>
        <w:t>(Trp-214)</w:t>
      </w:r>
      <w:r w:rsidR="009E6A12">
        <w:rPr>
          <w:rFonts w:asciiTheme="majorBidi" w:eastAsia="Times New Roman" w:hAnsiTheme="majorBidi" w:cstheme="majorBidi"/>
          <w:sz w:val="24"/>
          <w:szCs w:val="24"/>
          <w:bdr w:val="none" w:sz="0" w:space="0" w:color="auto" w:frame="1"/>
        </w:rPr>
        <w:t>, induces</w:t>
      </w:r>
      <w:r w:rsidR="00713912">
        <w:rPr>
          <w:rFonts w:asciiTheme="majorBidi" w:eastAsia="Times New Roman" w:hAnsiTheme="majorBidi" w:cstheme="majorBidi"/>
          <w:sz w:val="24"/>
          <w:szCs w:val="24"/>
          <w:bdr w:val="none" w:sz="0" w:space="0" w:color="auto" w:frame="1"/>
        </w:rPr>
        <w:t xml:space="preserve"> conformational deformity</w:t>
      </w:r>
      <w:r w:rsidR="00713912">
        <w:rPr>
          <w:rFonts w:asciiTheme="majorBidi" w:eastAsia="Times New Roman" w:hAnsiTheme="majorBidi" w:cstheme="majorBidi"/>
          <w:sz w:val="24"/>
          <w:szCs w:val="24"/>
          <w:bdr w:val="none" w:sz="0" w:space="0" w:color="auto" w:frame="1"/>
          <w:rtl/>
        </w:rPr>
        <w:t xml:space="preserve"> </w:t>
      </w:r>
      <w:r w:rsidR="00713912">
        <w:rPr>
          <w:rFonts w:asciiTheme="majorBidi" w:eastAsia="Times New Roman" w:hAnsiTheme="majorBidi" w:cstheme="majorBidi"/>
          <w:sz w:val="24"/>
          <w:szCs w:val="24"/>
          <w:bdr w:val="none" w:sz="0" w:space="0" w:color="auto" w:frame="1"/>
        </w:rPr>
        <w:t>in the subdomain IIA of HSA protein, causing loosening of</w:t>
      </w:r>
      <w:r w:rsidR="00713912">
        <w:rPr>
          <w:rFonts w:asciiTheme="majorBidi" w:eastAsia="Times New Roman" w:hAnsiTheme="majorBidi" w:cstheme="majorBidi"/>
          <w:sz w:val="24"/>
          <w:szCs w:val="24"/>
          <w:bdr w:val="none" w:sz="0" w:space="0" w:color="auto" w:frame="1"/>
          <w:rtl/>
        </w:rPr>
        <w:t xml:space="preserve"> </w:t>
      </w:r>
      <w:r w:rsidR="00713912">
        <w:rPr>
          <w:rFonts w:asciiTheme="majorBidi" w:eastAsia="Times New Roman" w:hAnsiTheme="majorBidi" w:cstheme="majorBidi"/>
          <w:sz w:val="24"/>
          <w:szCs w:val="24"/>
          <w:bdr w:val="none" w:sz="0" w:space="0" w:color="auto" w:frame="1"/>
        </w:rPr>
        <w:t>its native structure.</w:t>
      </w:r>
    </w:p>
    <w:p w:rsidR="006C30B4" w:rsidRDefault="00713912" w:rsidP="003567D6">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6C30B4" w:rsidRPr="006C30B4">
        <w:rPr>
          <w:rFonts w:asciiTheme="majorBidi" w:hAnsiTheme="majorBidi" w:cstheme="majorBidi"/>
          <w:sz w:val="24"/>
          <w:szCs w:val="24"/>
        </w:rPr>
        <w:t>Therefore the interaction of HSA proteins with pesticide molecules leads to decrease in free HSA concentrations which subsequently interrupt the transport of the essential compounds like drugs and hormones in the blood vascular system and cause of many diseases in the human body.</w:t>
      </w:r>
    </w:p>
    <w:p w:rsidR="005A0451" w:rsidRDefault="005A0451" w:rsidP="003567D6">
      <w:pPr>
        <w:autoSpaceDE w:val="0"/>
        <w:autoSpaceDN w:val="0"/>
        <w:adjustRightInd w:val="0"/>
        <w:spacing w:after="0" w:line="360" w:lineRule="auto"/>
        <w:jc w:val="both"/>
        <w:rPr>
          <w:rFonts w:asciiTheme="majorBidi" w:hAnsiTheme="majorBidi" w:cstheme="majorBidi"/>
          <w:sz w:val="24"/>
          <w:szCs w:val="24"/>
        </w:rPr>
      </w:pPr>
    </w:p>
    <w:p w:rsidR="00EE70E3" w:rsidRPr="006C30B4" w:rsidRDefault="006C30B4" w:rsidP="00D819D5">
      <w:pPr>
        <w:spacing w:line="276" w:lineRule="auto"/>
        <w:jc w:val="both"/>
        <w:rPr>
          <w:rFonts w:asciiTheme="majorBidi" w:hAnsiTheme="majorBidi" w:cstheme="majorBidi"/>
          <w:sz w:val="24"/>
          <w:szCs w:val="24"/>
          <w:rtl/>
        </w:rPr>
      </w:pPr>
      <w:r w:rsidRPr="006C30B4">
        <w:rPr>
          <w:rFonts w:asciiTheme="majorBidi" w:hAnsiTheme="majorBidi" w:cstheme="majorBidi"/>
          <w:b/>
          <w:bCs/>
          <w:sz w:val="24"/>
          <w:szCs w:val="24"/>
        </w:rPr>
        <w:t>Keywords:</w:t>
      </w:r>
      <w:r w:rsidRPr="006C30B4">
        <w:rPr>
          <w:rFonts w:asciiTheme="majorBidi" w:hAnsiTheme="majorBidi" w:cstheme="majorBidi"/>
          <w:sz w:val="24"/>
          <w:szCs w:val="24"/>
        </w:rPr>
        <w:t xml:space="preserve"> Human Serum Albumin (HSA), Pesticide, Hydrophobic interaction, Hydrogen bonding, Subdomain IIA, FT-IR, CD.</w:t>
      </w:r>
    </w:p>
    <w:sectPr w:rsidR="00EE70E3" w:rsidRPr="006C30B4" w:rsidSect="009127CD">
      <w:headerReference w:type="default" r:id="rId6"/>
      <w:pgSz w:w="12240" w:h="15840"/>
      <w:pgMar w:top="1440" w:right="1440" w:bottom="1440" w:left="144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927" w:rsidRDefault="00903927" w:rsidP="00A1423E">
      <w:pPr>
        <w:spacing w:after="0" w:line="240" w:lineRule="auto"/>
      </w:pPr>
      <w:r>
        <w:separator/>
      </w:r>
    </w:p>
  </w:endnote>
  <w:endnote w:type="continuationSeparator" w:id="0">
    <w:p w:rsidR="00903927" w:rsidRDefault="00903927" w:rsidP="00A14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927" w:rsidRDefault="00903927" w:rsidP="00A1423E">
      <w:pPr>
        <w:spacing w:after="0" w:line="240" w:lineRule="auto"/>
      </w:pPr>
      <w:r>
        <w:separator/>
      </w:r>
    </w:p>
  </w:footnote>
  <w:footnote w:type="continuationSeparator" w:id="0">
    <w:p w:rsidR="00903927" w:rsidRDefault="00903927" w:rsidP="00A142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23E" w:rsidRDefault="002D707E">
    <w:pPr>
      <w:pStyle w:val="Header"/>
    </w:pPr>
    <w:r>
      <w:rPr>
        <w:noProof/>
      </w:rPr>
      <w:drawing>
        <wp:anchor distT="0" distB="0" distL="114300" distR="114300" simplePos="0" relativeHeight="251658240" behindDoc="0" locked="0" layoutInCell="1" allowOverlap="1">
          <wp:simplePos x="0" y="0"/>
          <wp:positionH relativeFrom="column">
            <wp:posOffset>-495300</wp:posOffset>
          </wp:positionH>
          <wp:positionV relativeFrom="paragraph">
            <wp:posOffset>-97155</wp:posOffset>
          </wp:positionV>
          <wp:extent cx="1019175" cy="971550"/>
          <wp:effectExtent l="0" t="0" r="9525" b="0"/>
          <wp:wrapSquare wrapText="bothSides"/>
          <wp:docPr id="3" name="Picture 3" descr="آر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آرم"/>
                  <pic:cNvPicPr>
                    <a:picLocks noChangeAspect="1" noChangeArrowheads="1"/>
                  </pic:cNvPicPr>
                </pic:nvPicPr>
                <pic:blipFill>
                  <a:blip r:embed="rId1">
                    <a:extLst>
                      <a:ext uri="{28A0092B-C50C-407E-A947-70E740481C1C}">
                        <a14:useLocalDpi xmlns:a14="http://schemas.microsoft.com/office/drawing/2010/main" val="0"/>
                      </a:ext>
                    </a:extLst>
                  </a:blip>
                  <a:srcRect l="7910" t="15642" r="3391"/>
                  <a:stretch>
                    <a:fillRect/>
                  </a:stretch>
                </pic:blipFill>
                <pic:spPr bwMode="auto">
                  <a:xfrm>
                    <a:off x="0" y="0"/>
                    <a:ext cx="1019175" cy="9715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simplePos x="0" y="0"/>
          <wp:positionH relativeFrom="column">
            <wp:posOffset>5638800</wp:posOffset>
          </wp:positionH>
          <wp:positionV relativeFrom="paragraph">
            <wp:posOffset>-139065</wp:posOffset>
          </wp:positionV>
          <wp:extent cx="1095375" cy="859155"/>
          <wp:effectExtent l="0" t="0" r="9525" b="0"/>
          <wp:wrapSquare wrapText="bothSides"/>
          <wp:docPr id="2" name="Picture 1" descr="https://media.sarpoosh.com/images/article/picture/university-isfahan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dia.sarpoosh.com/images/article/picture/university-isfahan02.jpg"/>
                  <pic:cNvPicPr>
                    <a:picLocks noChangeAspect="1" noChangeArrowheads="1"/>
                  </pic:cNvPicPr>
                </pic:nvPicPr>
                <pic:blipFill>
                  <a:blip r:embed="rId2">
                    <a:extLst>
                      <a:ext uri="{28A0092B-C50C-407E-A947-70E740481C1C}">
                        <a14:useLocalDpi xmlns:a14="http://schemas.microsoft.com/office/drawing/2010/main" val="0"/>
                      </a:ext>
                    </a:extLst>
                  </a:blip>
                  <a:srcRect t="15233" b="9242"/>
                  <a:stretch>
                    <a:fillRect/>
                  </a:stretch>
                </pic:blipFill>
                <pic:spPr bwMode="auto">
                  <a:xfrm>
                    <a:off x="0" y="0"/>
                    <a:ext cx="1095375" cy="859155"/>
                  </a:xfrm>
                  <a:prstGeom prst="rect">
                    <a:avLst/>
                  </a:prstGeom>
                  <a:noFill/>
                  <a:ln>
                    <a:noFill/>
                  </a:ln>
                </pic:spPr>
              </pic:pic>
            </a:graphicData>
          </a:graphic>
          <wp14:sizeRelH relativeFrom="page">
            <wp14:pctWidth>0</wp14:pctWidth>
          </wp14:sizeRelH>
          <wp14:sizeRelV relativeFrom="page">
            <wp14:pctHeight>0</wp14:pctHeight>
          </wp14:sizeRelV>
        </wp:anchor>
      </w:drawing>
    </w:r>
    <w:r w:rsidR="009127CD">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E47"/>
    <w:rsid w:val="00122DAD"/>
    <w:rsid w:val="00157A97"/>
    <w:rsid w:val="001B3059"/>
    <w:rsid w:val="001B3D9D"/>
    <w:rsid w:val="001D2E47"/>
    <w:rsid w:val="00241FCA"/>
    <w:rsid w:val="002459FF"/>
    <w:rsid w:val="00282EF5"/>
    <w:rsid w:val="002A2784"/>
    <w:rsid w:val="002D707E"/>
    <w:rsid w:val="00333C53"/>
    <w:rsid w:val="00354B1D"/>
    <w:rsid w:val="003567D6"/>
    <w:rsid w:val="003623A7"/>
    <w:rsid w:val="003C3E77"/>
    <w:rsid w:val="004130FA"/>
    <w:rsid w:val="005651D8"/>
    <w:rsid w:val="005A0451"/>
    <w:rsid w:val="00631DE7"/>
    <w:rsid w:val="006C30B4"/>
    <w:rsid w:val="006D7752"/>
    <w:rsid w:val="00713912"/>
    <w:rsid w:val="00732E18"/>
    <w:rsid w:val="00765F6C"/>
    <w:rsid w:val="008617E5"/>
    <w:rsid w:val="00903927"/>
    <w:rsid w:val="009127CD"/>
    <w:rsid w:val="00920429"/>
    <w:rsid w:val="0097345F"/>
    <w:rsid w:val="00980209"/>
    <w:rsid w:val="009A585B"/>
    <w:rsid w:val="009E6A12"/>
    <w:rsid w:val="00A1423E"/>
    <w:rsid w:val="00A52CCD"/>
    <w:rsid w:val="00A542FC"/>
    <w:rsid w:val="00A805A4"/>
    <w:rsid w:val="00AD1396"/>
    <w:rsid w:val="00B17B40"/>
    <w:rsid w:val="00BA2966"/>
    <w:rsid w:val="00C54E23"/>
    <w:rsid w:val="00D44272"/>
    <w:rsid w:val="00D73842"/>
    <w:rsid w:val="00D819D5"/>
    <w:rsid w:val="00E957CA"/>
    <w:rsid w:val="00ED19D8"/>
    <w:rsid w:val="00EE70E3"/>
    <w:rsid w:val="00F10173"/>
    <w:rsid w:val="00F77201"/>
    <w:rsid w:val="00FC2000"/>
    <w:rsid w:val="00FC53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903EBB2-6984-45B9-8F1A-D3EE1E0F9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42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423E"/>
  </w:style>
  <w:style w:type="paragraph" w:styleId="Footer">
    <w:name w:val="footer"/>
    <w:basedOn w:val="Normal"/>
    <w:link w:val="FooterChar"/>
    <w:uiPriority w:val="99"/>
    <w:unhideWhenUsed/>
    <w:rsid w:val="00A142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4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2354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D!akov RePack</dc:creator>
  <cp:keywords/>
  <dc:description/>
  <cp:lastModifiedBy>Hadi</cp:lastModifiedBy>
  <cp:revision>11</cp:revision>
  <cp:lastPrinted>2019-03-11T21:11:00Z</cp:lastPrinted>
  <dcterms:created xsi:type="dcterms:W3CDTF">2019-04-18T18:08:00Z</dcterms:created>
  <dcterms:modified xsi:type="dcterms:W3CDTF">2019-04-19T13:51:00Z</dcterms:modified>
</cp:coreProperties>
</file>