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5CA1E" w14:textId="77777777" w:rsidR="0039642E" w:rsidRDefault="0039642E" w:rsidP="004C319B">
      <w:pPr>
        <w:jc w:val="center"/>
        <w:rPr>
          <w:rFonts w:asciiTheme="majorBidi" w:hAnsiTheme="majorBidi" w:cstheme="majorBidi"/>
          <w:b/>
          <w:bCs/>
          <w:sz w:val="28"/>
          <w:szCs w:val="28"/>
        </w:rPr>
      </w:pPr>
      <w:r w:rsidRPr="00C82420">
        <w:rPr>
          <w:rFonts w:asciiTheme="majorBidi" w:hAnsiTheme="majorBidi" w:cstheme="majorBidi"/>
          <w:b/>
          <w:bCs/>
          <w:sz w:val="28"/>
          <w:szCs w:val="28"/>
        </w:rPr>
        <w:t>Importance of GPCR receptors in fungi</w:t>
      </w:r>
    </w:p>
    <w:p w14:paraId="42B7C2D4" w14:textId="2166394A" w:rsidR="00C82420" w:rsidRPr="00C82420" w:rsidRDefault="00C82420" w:rsidP="004C319B">
      <w:pPr>
        <w:jc w:val="center"/>
        <w:rPr>
          <w:rFonts w:asciiTheme="majorBidi" w:hAnsiTheme="majorBidi" w:cstheme="majorBidi"/>
          <w:b/>
          <w:bCs/>
          <w:sz w:val="28"/>
          <w:szCs w:val="28"/>
        </w:rPr>
      </w:pPr>
      <w:bookmarkStart w:id="0" w:name="_GoBack"/>
      <w:bookmarkEnd w:id="0"/>
    </w:p>
    <w:p w14:paraId="1EBA285E" w14:textId="77777777" w:rsidR="00C82420" w:rsidRPr="00C82420" w:rsidRDefault="00C82420" w:rsidP="004C319B">
      <w:pPr>
        <w:spacing w:after="200" w:line="240" w:lineRule="auto"/>
        <w:jc w:val="center"/>
        <w:rPr>
          <w:rFonts w:ascii="Times New Roman" w:eastAsia="PMingLiU" w:hAnsi="Times New Roman" w:cs="Times New Roman"/>
          <w:b/>
          <w:bCs/>
          <w:color w:val="131413"/>
          <w:sz w:val="24"/>
          <w:szCs w:val="24"/>
        </w:rPr>
      </w:pPr>
      <w:proofErr w:type="spellStart"/>
      <w:r w:rsidRPr="00850781">
        <w:rPr>
          <w:rFonts w:ascii="Times New Roman" w:eastAsia="PMingLiU" w:hAnsi="Times New Roman" w:cs="Times New Roman"/>
          <w:b/>
          <w:bCs/>
          <w:color w:val="131413"/>
          <w:sz w:val="24"/>
          <w:szCs w:val="24"/>
          <w:u w:val="single"/>
        </w:rPr>
        <w:t>Behnaz</w:t>
      </w:r>
      <w:proofErr w:type="spellEnd"/>
      <w:r w:rsidRPr="00850781">
        <w:rPr>
          <w:rFonts w:ascii="Times New Roman" w:eastAsia="PMingLiU" w:hAnsi="Times New Roman" w:cs="Times New Roman"/>
          <w:b/>
          <w:bCs/>
          <w:color w:val="131413"/>
          <w:sz w:val="24"/>
          <w:szCs w:val="24"/>
          <w:u w:val="single"/>
        </w:rPr>
        <w:t xml:space="preserve"> </w:t>
      </w:r>
      <w:proofErr w:type="spellStart"/>
      <w:r w:rsidRPr="00850781">
        <w:rPr>
          <w:rFonts w:ascii="Times New Roman" w:eastAsia="PMingLiU" w:hAnsi="Times New Roman" w:cs="Times New Roman"/>
          <w:b/>
          <w:bCs/>
          <w:color w:val="131413"/>
          <w:sz w:val="24"/>
          <w:szCs w:val="24"/>
          <w:u w:val="single"/>
        </w:rPr>
        <w:t>Bagherieh</w:t>
      </w:r>
      <w:proofErr w:type="spellEnd"/>
      <w:r w:rsidRPr="00C82420">
        <w:rPr>
          <w:rFonts w:ascii="Times New Roman" w:eastAsia="PMingLiU" w:hAnsi="Times New Roman" w:cs="Times New Roman"/>
          <w:b/>
          <w:bCs/>
          <w:color w:val="131413"/>
          <w:sz w:val="24"/>
          <w:szCs w:val="24"/>
        </w:rPr>
        <w:t xml:space="preserve">, </w:t>
      </w:r>
      <w:proofErr w:type="spellStart"/>
      <w:r w:rsidRPr="00C82420">
        <w:rPr>
          <w:rFonts w:ascii="Times New Roman" w:eastAsia="PMingLiU" w:hAnsi="Times New Roman" w:cs="Times New Roman"/>
          <w:b/>
          <w:bCs/>
          <w:color w:val="131413"/>
          <w:sz w:val="24"/>
          <w:szCs w:val="24"/>
        </w:rPr>
        <w:t>Parissa</w:t>
      </w:r>
      <w:proofErr w:type="spellEnd"/>
      <w:r w:rsidRPr="00C82420">
        <w:rPr>
          <w:rFonts w:ascii="Times New Roman" w:eastAsia="PMingLiU" w:hAnsi="Times New Roman" w:cs="Times New Roman"/>
          <w:b/>
          <w:bCs/>
          <w:color w:val="131413"/>
          <w:sz w:val="24"/>
          <w:szCs w:val="24"/>
        </w:rPr>
        <w:t xml:space="preserve"> Taheri</w:t>
      </w:r>
    </w:p>
    <w:p w14:paraId="66AB6075" w14:textId="717343F2" w:rsidR="00C82420" w:rsidRDefault="00C82420" w:rsidP="004C319B">
      <w:pPr>
        <w:jc w:val="center"/>
        <w:rPr>
          <w:rFonts w:ascii="Times New Roman" w:eastAsia="PMingLiU" w:hAnsi="Times New Roman" w:cs="Times New Roman"/>
          <w:color w:val="131413"/>
          <w:sz w:val="24"/>
          <w:szCs w:val="24"/>
        </w:rPr>
      </w:pPr>
      <w:r w:rsidRPr="00C82420">
        <w:rPr>
          <w:rFonts w:ascii="Times New Roman" w:eastAsia="PMingLiU" w:hAnsi="Times New Roman" w:cs="Times New Roman"/>
          <w:color w:val="131413"/>
          <w:sz w:val="24"/>
          <w:szCs w:val="24"/>
        </w:rPr>
        <w:t>Department of Plant Protection, Faculty of Agriculture, Ferdowsi University of Mashhad</w:t>
      </w:r>
      <w:r>
        <w:rPr>
          <w:rFonts w:ascii="Times New Roman" w:eastAsia="PMingLiU" w:hAnsi="Times New Roman" w:cs="Times New Roman"/>
          <w:color w:val="131413"/>
          <w:sz w:val="24"/>
          <w:szCs w:val="24"/>
        </w:rPr>
        <w:t>, Mashhad, Iran</w:t>
      </w:r>
    </w:p>
    <w:p w14:paraId="47B225B9" w14:textId="722DEA6E" w:rsidR="009723E5" w:rsidRDefault="009723E5" w:rsidP="00C82420">
      <w:pPr>
        <w:jc w:val="lowKashida"/>
        <w:rPr>
          <w:rFonts w:asciiTheme="majorBidi" w:hAnsiTheme="majorBidi" w:cstheme="majorBidi"/>
          <w:b/>
          <w:bCs/>
          <w:sz w:val="28"/>
          <w:szCs w:val="28"/>
        </w:rPr>
      </w:pPr>
      <w:bookmarkStart w:id="1" w:name="_Hlk6640737"/>
      <w:r w:rsidRPr="00F003BC">
        <w:rPr>
          <w:rFonts w:asciiTheme="majorBidi" w:hAnsiTheme="majorBidi" w:cstheme="majorBidi"/>
          <w:b/>
          <w:bCs/>
          <w:sz w:val="28"/>
          <w:szCs w:val="28"/>
        </w:rPr>
        <w:t>A</w:t>
      </w:r>
      <w:r w:rsidR="00431028">
        <w:rPr>
          <w:rFonts w:asciiTheme="majorBidi" w:hAnsiTheme="majorBidi" w:cstheme="majorBidi"/>
          <w:b/>
          <w:bCs/>
          <w:sz w:val="28"/>
          <w:szCs w:val="28"/>
        </w:rPr>
        <w:t>bstract</w:t>
      </w:r>
    </w:p>
    <w:bookmarkEnd w:id="1"/>
    <w:p w14:paraId="3E70A9DA" w14:textId="3883D1C9" w:rsidR="005E21A7" w:rsidRDefault="00FC2C49" w:rsidP="00CA12E9">
      <w:pPr>
        <w:jc w:val="lowKashida"/>
        <w:rPr>
          <w:rFonts w:asciiTheme="majorBidi" w:hAnsiTheme="majorBidi" w:cstheme="majorBidi"/>
          <w:sz w:val="24"/>
          <w:szCs w:val="24"/>
        </w:rPr>
      </w:pPr>
      <w:r w:rsidRPr="0024120A">
        <w:rPr>
          <w:rFonts w:asciiTheme="majorBidi" w:hAnsiTheme="majorBidi" w:cstheme="majorBidi"/>
          <w:sz w:val="24"/>
          <w:szCs w:val="24"/>
        </w:rPr>
        <w:t>G-protein-coupled receptors are a large group of receptors that are present in the outer surface of the membrane of cells in eukaryotes and they are deformed and activated after binding to their ligands, such as adenosine, epineuma or adrenaline.</w:t>
      </w:r>
      <w:r w:rsidR="00A3573E" w:rsidRPr="0024120A">
        <w:rPr>
          <w:rFonts w:asciiTheme="majorBidi" w:hAnsiTheme="majorBidi" w:cstheme="majorBidi"/>
          <w:sz w:val="24"/>
          <w:szCs w:val="24"/>
        </w:rPr>
        <w:t xml:space="preserve"> </w:t>
      </w:r>
      <w:r w:rsidR="00C62591">
        <w:rPr>
          <w:rFonts w:asciiTheme="majorBidi" w:hAnsiTheme="majorBidi" w:cstheme="majorBidi"/>
          <w:sz w:val="24"/>
          <w:szCs w:val="24"/>
        </w:rPr>
        <w:t xml:space="preserve">The </w:t>
      </w:r>
      <w:r w:rsidR="00A3573E" w:rsidRPr="0024120A">
        <w:rPr>
          <w:rFonts w:asciiTheme="majorBidi" w:hAnsiTheme="majorBidi" w:cstheme="majorBidi"/>
          <w:sz w:val="24"/>
          <w:szCs w:val="24"/>
        </w:rPr>
        <w:t>GPCRs use two main path</w:t>
      </w:r>
      <w:r w:rsidR="00C62591">
        <w:rPr>
          <w:rFonts w:asciiTheme="majorBidi" w:hAnsiTheme="majorBidi" w:cstheme="majorBidi"/>
          <w:sz w:val="24"/>
          <w:szCs w:val="24"/>
        </w:rPr>
        <w:t>way</w:t>
      </w:r>
      <w:r w:rsidR="00A3573E" w:rsidRPr="0024120A">
        <w:rPr>
          <w:rFonts w:asciiTheme="majorBidi" w:hAnsiTheme="majorBidi" w:cstheme="majorBidi"/>
          <w:sz w:val="24"/>
          <w:szCs w:val="24"/>
        </w:rPr>
        <w:t xml:space="preserve">s, including the cAMP </w:t>
      </w:r>
      <w:r w:rsidR="00C62591">
        <w:rPr>
          <w:rFonts w:asciiTheme="majorBidi" w:hAnsiTheme="majorBidi" w:cstheme="majorBidi"/>
          <w:sz w:val="24"/>
          <w:szCs w:val="24"/>
        </w:rPr>
        <w:t xml:space="preserve">and </w:t>
      </w:r>
      <w:proofErr w:type="spellStart"/>
      <w:r w:rsidR="00A3573E" w:rsidRPr="0024120A">
        <w:rPr>
          <w:rFonts w:asciiTheme="majorBidi" w:hAnsiTheme="majorBidi" w:cstheme="majorBidi"/>
          <w:sz w:val="24"/>
          <w:szCs w:val="24"/>
        </w:rPr>
        <w:t>phosphatidil</w:t>
      </w:r>
      <w:proofErr w:type="spellEnd"/>
      <w:r w:rsidR="00A3573E" w:rsidRPr="0024120A">
        <w:rPr>
          <w:rFonts w:asciiTheme="majorBidi" w:hAnsiTheme="majorBidi" w:cstheme="majorBidi"/>
          <w:sz w:val="24"/>
          <w:szCs w:val="24"/>
        </w:rPr>
        <w:t xml:space="preserve"> </w:t>
      </w:r>
      <w:r w:rsidR="00C62591">
        <w:rPr>
          <w:rFonts w:asciiTheme="majorBidi" w:hAnsiTheme="majorBidi" w:cstheme="majorBidi"/>
          <w:sz w:val="24"/>
          <w:szCs w:val="24"/>
        </w:rPr>
        <w:t xml:space="preserve">signaling </w:t>
      </w:r>
      <w:r w:rsidR="00A3573E" w:rsidRPr="0024120A">
        <w:rPr>
          <w:rFonts w:asciiTheme="majorBidi" w:hAnsiTheme="majorBidi" w:cstheme="majorBidi"/>
          <w:sz w:val="24"/>
          <w:szCs w:val="24"/>
        </w:rPr>
        <w:t>path</w:t>
      </w:r>
      <w:r w:rsidR="00C62591">
        <w:rPr>
          <w:rFonts w:asciiTheme="majorBidi" w:hAnsiTheme="majorBidi" w:cstheme="majorBidi"/>
          <w:sz w:val="24"/>
          <w:szCs w:val="24"/>
        </w:rPr>
        <w:t>ways</w:t>
      </w:r>
      <w:r w:rsidR="00A3573E" w:rsidRPr="0024120A">
        <w:rPr>
          <w:rFonts w:asciiTheme="majorBidi" w:hAnsiTheme="majorBidi" w:cstheme="majorBidi"/>
          <w:sz w:val="24"/>
          <w:szCs w:val="24"/>
        </w:rPr>
        <w:t xml:space="preserve"> for messaging.</w:t>
      </w:r>
      <w:r w:rsidR="00F16C42">
        <w:rPr>
          <w:rFonts w:asciiTheme="majorBidi" w:hAnsiTheme="majorBidi" w:cstheme="majorBidi"/>
          <w:sz w:val="24"/>
          <w:szCs w:val="24"/>
        </w:rPr>
        <w:t xml:space="preserve"> T</w:t>
      </w:r>
      <w:r w:rsidR="00C62591">
        <w:rPr>
          <w:rFonts w:asciiTheme="majorBidi" w:hAnsiTheme="majorBidi" w:cstheme="majorBidi"/>
          <w:sz w:val="24"/>
          <w:szCs w:val="24"/>
        </w:rPr>
        <w:t>hese r</w:t>
      </w:r>
      <w:r w:rsidR="0003014D" w:rsidRPr="0024120A">
        <w:rPr>
          <w:rFonts w:asciiTheme="majorBidi" w:hAnsiTheme="majorBidi" w:cstheme="majorBidi"/>
          <w:sz w:val="24"/>
          <w:szCs w:val="24"/>
        </w:rPr>
        <w:t xml:space="preserve">eceptors initiate intracellular G-protein signaling to coordinate biological responses against </w:t>
      </w:r>
      <w:r w:rsidR="00C62591">
        <w:rPr>
          <w:rFonts w:asciiTheme="majorBidi" w:hAnsiTheme="majorBidi" w:cstheme="majorBidi"/>
          <w:sz w:val="24"/>
          <w:szCs w:val="24"/>
        </w:rPr>
        <w:t>various stimuli</w:t>
      </w:r>
      <w:r w:rsidR="0003014D" w:rsidRPr="0024120A">
        <w:rPr>
          <w:rFonts w:asciiTheme="majorBidi" w:hAnsiTheme="majorBidi" w:cstheme="majorBidi"/>
          <w:sz w:val="24"/>
          <w:szCs w:val="24"/>
        </w:rPr>
        <w:t>. The</w:t>
      </w:r>
      <w:r w:rsidR="00C62591">
        <w:rPr>
          <w:rFonts w:asciiTheme="majorBidi" w:hAnsiTheme="majorBidi" w:cstheme="majorBidi"/>
          <w:sz w:val="24"/>
          <w:szCs w:val="24"/>
        </w:rPr>
        <w:t xml:space="preserve"> GPCRs</w:t>
      </w:r>
      <w:r w:rsidR="0003014D" w:rsidRPr="0024120A">
        <w:rPr>
          <w:rFonts w:asciiTheme="majorBidi" w:hAnsiTheme="majorBidi" w:cstheme="majorBidi"/>
          <w:sz w:val="24"/>
          <w:szCs w:val="24"/>
        </w:rPr>
        <w:t xml:space="preserve"> play a role in regulating metabolism, pathogenesis and mycotoxin production in fungi.</w:t>
      </w:r>
      <w:r w:rsidR="009F4114" w:rsidRPr="0024120A">
        <w:rPr>
          <w:rFonts w:asciiTheme="majorBidi" w:hAnsiTheme="majorBidi" w:cstheme="majorBidi"/>
          <w:sz w:val="24"/>
          <w:szCs w:val="24"/>
        </w:rPr>
        <w:t xml:space="preserve"> </w:t>
      </w:r>
      <w:r w:rsidR="00C62591">
        <w:rPr>
          <w:rFonts w:asciiTheme="majorBidi" w:hAnsiTheme="majorBidi" w:cstheme="majorBidi"/>
          <w:sz w:val="24"/>
          <w:szCs w:val="24"/>
        </w:rPr>
        <w:t xml:space="preserve">In fungi, the </w:t>
      </w:r>
      <w:r w:rsidR="009F4114" w:rsidRPr="0024120A">
        <w:rPr>
          <w:rFonts w:asciiTheme="majorBidi" w:hAnsiTheme="majorBidi" w:cstheme="majorBidi"/>
          <w:sz w:val="24"/>
          <w:szCs w:val="24"/>
        </w:rPr>
        <w:t>GPCR</w:t>
      </w:r>
      <w:r w:rsidR="00C62591">
        <w:rPr>
          <w:rFonts w:asciiTheme="majorBidi" w:hAnsiTheme="majorBidi" w:cstheme="majorBidi"/>
          <w:sz w:val="24"/>
          <w:szCs w:val="24"/>
        </w:rPr>
        <w:t>s</w:t>
      </w:r>
      <w:r w:rsidR="009F4114" w:rsidRPr="0024120A">
        <w:rPr>
          <w:rFonts w:asciiTheme="majorBidi" w:hAnsiTheme="majorBidi" w:cstheme="majorBidi"/>
          <w:sz w:val="24"/>
          <w:szCs w:val="24"/>
        </w:rPr>
        <w:t xml:space="preserve"> detect and receive different environmental signals,</w:t>
      </w:r>
      <w:r w:rsidR="00F16C42">
        <w:rPr>
          <w:rFonts w:asciiTheme="majorBidi" w:hAnsiTheme="majorBidi" w:cstheme="majorBidi"/>
          <w:sz w:val="24"/>
          <w:szCs w:val="24"/>
        </w:rPr>
        <w:t xml:space="preserve"> </w:t>
      </w:r>
      <w:r w:rsidR="009F4114" w:rsidRPr="0024120A">
        <w:rPr>
          <w:rFonts w:asciiTheme="majorBidi" w:hAnsiTheme="majorBidi" w:cstheme="majorBidi"/>
          <w:sz w:val="24"/>
          <w:szCs w:val="24"/>
        </w:rPr>
        <w:t>including hormones, pheromones, proteins, nutrients, ions, hydrophobic surfaces, and light.</w:t>
      </w:r>
      <w:r w:rsidR="001A317F" w:rsidRPr="0024120A">
        <w:rPr>
          <w:rFonts w:asciiTheme="majorBidi" w:hAnsiTheme="majorBidi" w:cstheme="majorBidi"/>
          <w:sz w:val="24"/>
          <w:szCs w:val="24"/>
        </w:rPr>
        <w:t xml:space="preserve"> Based on homology and structural similarity, the fungal GPCR is classified into ten groups.</w:t>
      </w:r>
      <w:r w:rsidR="00FA0C39" w:rsidRPr="0024120A">
        <w:rPr>
          <w:rFonts w:asciiTheme="majorBidi" w:hAnsiTheme="majorBidi" w:cstheme="majorBidi"/>
          <w:sz w:val="24"/>
          <w:szCs w:val="24"/>
        </w:rPr>
        <w:t xml:space="preserve"> The six main or classic GPCR categories are:</w:t>
      </w:r>
      <w:r w:rsidR="008E7765" w:rsidRPr="0024120A">
        <w:rPr>
          <w:rFonts w:asciiTheme="majorBidi" w:hAnsiTheme="majorBidi" w:cstheme="majorBidi"/>
          <w:sz w:val="24"/>
          <w:szCs w:val="24"/>
        </w:rPr>
        <w:t xml:space="preserve"> </w:t>
      </w:r>
      <w:r w:rsidR="00C62591">
        <w:rPr>
          <w:rFonts w:asciiTheme="majorBidi" w:hAnsiTheme="majorBidi" w:cstheme="majorBidi"/>
          <w:sz w:val="24"/>
          <w:szCs w:val="24"/>
        </w:rPr>
        <w:t>p</w:t>
      </w:r>
      <w:r w:rsidR="008E7765" w:rsidRPr="0024120A">
        <w:rPr>
          <w:rFonts w:asciiTheme="majorBidi" w:hAnsiTheme="majorBidi" w:cstheme="majorBidi"/>
          <w:sz w:val="24"/>
          <w:szCs w:val="24"/>
        </w:rPr>
        <w:t>heromone receptors (classes I and II), carbon (III), nitrogen (IV), receptors similar to cAMP (V) and microbial protein receptors (IX).</w:t>
      </w:r>
      <w:r w:rsidR="00F16C42">
        <w:rPr>
          <w:rFonts w:asciiTheme="majorBidi" w:hAnsiTheme="majorBidi" w:cstheme="majorBidi"/>
          <w:sz w:val="24"/>
          <w:szCs w:val="24"/>
        </w:rPr>
        <w:t xml:space="preserve"> T</w:t>
      </w:r>
      <w:r w:rsidR="008E7765" w:rsidRPr="0024120A">
        <w:rPr>
          <w:rFonts w:asciiTheme="majorBidi" w:hAnsiTheme="majorBidi" w:cstheme="majorBidi"/>
          <w:sz w:val="24"/>
          <w:szCs w:val="24"/>
        </w:rPr>
        <w:t xml:space="preserve">here are significant differences in the frequency and diversity of these receptors in </w:t>
      </w:r>
      <w:r w:rsidR="00C62591">
        <w:rPr>
          <w:rFonts w:asciiTheme="majorBidi" w:hAnsiTheme="majorBidi" w:cstheme="majorBidi"/>
          <w:sz w:val="24"/>
          <w:szCs w:val="24"/>
        </w:rPr>
        <w:t xml:space="preserve">various </w:t>
      </w:r>
      <w:r w:rsidR="00031100" w:rsidRPr="0024120A">
        <w:rPr>
          <w:rFonts w:asciiTheme="majorBidi" w:hAnsiTheme="majorBidi" w:cstheme="majorBidi"/>
          <w:sz w:val="24"/>
          <w:szCs w:val="24"/>
        </w:rPr>
        <w:t>fungi and potential ligands.</w:t>
      </w:r>
      <w:r w:rsidR="0044501B">
        <w:rPr>
          <w:rFonts w:asciiTheme="majorBidi" w:hAnsiTheme="majorBidi" w:cstheme="majorBidi"/>
          <w:sz w:val="24"/>
          <w:szCs w:val="24"/>
        </w:rPr>
        <w:t xml:space="preserve"> T</w:t>
      </w:r>
      <w:r w:rsidR="0013252E" w:rsidRPr="0024120A">
        <w:rPr>
          <w:rFonts w:asciiTheme="majorBidi" w:hAnsiTheme="majorBidi" w:cstheme="majorBidi"/>
          <w:sz w:val="24"/>
          <w:szCs w:val="24"/>
        </w:rPr>
        <w:t xml:space="preserve">he fungal GPCR and cAMP-PKA pathway regulate the secretion of hydrolytic enzymes in fungi, which </w:t>
      </w:r>
      <w:r w:rsidR="00442A5F">
        <w:rPr>
          <w:rFonts w:asciiTheme="majorBidi" w:hAnsiTheme="majorBidi" w:cstheme="majorBidi"/>
          <w:sz w:val="24"/>
          <w:szCs w:val="24"/>
        </w:rPr>
        <w:t>are</w:t>
      </w:r>
      <w:r w:rsidR="0013252E" w:rsidRPr="0024120A">
        <w:rPr>
          <w:rFonts w:asciiTheme="majorBidi" w:hAnsiTheme="majorBidi" w:cstheme="majorBidi"/>
          <w:sz w:val="24"/>
          <w:szCs w:val="24"/>
        </w:rPr>
        <w:t xml:space="preserve"> important in pathogen</w:t>
      </w:r>
      <w:r w:rsidR="00442A5F">
        <w:rPr>
          <w:rFonts w:asciiTheme="majorBidi" w:hAnsiTheme="majorBidi" w:cstheme="majorBidi"/>
          <w:sz w:val="24"/>
          <w:szCs w:val="24"/>
        </w:rPr>
        <w:t>e</w:t>
      </w:r>
      <w:r w:rsidR="0013252E" w:rsidRPr="0024120A">
        <w:rPr>
          <w:rFonts w:asciiTheme="majorBidi" w:hAnsiTheme="majorBidi" w:cstheme="majorBidi"/>
          <w:sz w:val="24"/>
          <w:szCs w:val="24"/>
        </w:rPr>
        <w:t>s</w:t>
      </w:r>
      <w:r w:rsidR="00442A5F">
        <w:rPr>
          <w:rFonts w:asciiTheme="majorBidi" w:hAnsiTheme="majorBidi" w:cstheme="majorBidi"/>
          <w:sz w:val="24"/>
          <w:szCs w:val="24"/>
        </w:rPr>
        <w:t>is</w:t>
      </w:r>
      <w:r w:rsidR="0013252E" w:rsidRPr="0024120A">
        <w:rPr>
          <w:rFonts w:asciiTheme="majorBidi" w:hAnsiTheme="majorBidi" w:cstheme="majorBidi"/>
          <w:sz w:val="24"/>
          <w:szCs w:val="24"/>
        </w:rPr>
        <w:t xml:space="preserve">. The presence of these protein receptors in mushrooms is needed to successfully complete the sexual cycle, which increases genetic diversity and resistance of the fungus to the antifungal compounds. </w:t>
      </w:r>
      <w:r w:rsidR="00442A5F">
        <w:rPr>
          <w:rFonts w:asciiTheme="majorBidi" w:hAnsiTheme="majorBidi" w:cstheme="majorBidi"/>
          <w:sz w:val="24"/>
          <w:szCs w:val="24"/>
        </w:rPr>
        <w:t>Our knowledge on</w:t>
      </w:r>
      <w:r w:rsidR="0013252E" w:rsidRPr="0024120A">
        <w:rPr>
          <w:rFonts w:asciiTheme="majorBidi" w:hAnsiTheme="majorBidi" w:cstheme="majorBidi"/>
          <w:sz w:val="24"/>
          <w:szCs w:val="24"/>
        </w:rPr>
        <w:t xml:space="preserve"> the role of GPCR</w:t>
      </w:r>
      <w:r w:rsidR="00442A5F">
        <w:rPr>
          <w:rFonts w:asciiTheme="majorBidi" w:hAnsiTheme="majorBidi" w:cstheme="majorBidi"/>
          <w:sz w:val="24"/>
          <w:szCs w:val="24"/>
        </w:rPr>
        <w:t>s</w:t>
      </w:r>
      <w:r w:rsidR="0013252E" w:rsidRPr="0024120A">
        <w:rPr>
          <w:rFonts w:asciiTheme="majorBidi" w:hAnsiTheme="majorBidi" w:cstheme="majorBidi"/>
          <w:sz w:val="24"/>
          <w:szCs w:val="24"/>
        </w:rPr>
        <w:t xml:space="preserve"> in fungi </w:t>
      </w:r>
      <w:r w:rsidR="00442A5F">
        <w:rPr>
          <w:rFonts w:asciiTheme="majorBidi" w:hAnsiTheme="majorBidi" w:cstheme="majorBidi"/>
          <w:sz w:val="24"/>
          <w:szCs w:val="24"/>
        </w:rPr>
        <w:t>b</w:t>
      </w:r>
      <w:r w:rsidR="00D87F5F">
        <w:rPr>
          <w:rFonts w:asciiTheme="majorBidi" w:hAnsiTheme="majorBidi" w:cstheme="majorBidi"/>
          <w:sz w:val="24"/>
          <w:szCs w:val="24"/>
        </w:rPr>
        <w:t>i</w:t>
      </w:r>
      <w:r w:rsidR="00442A5F">
        <w:rPr>
          <w:rFonts w:asciiTheme="majorBidi" w:hAnsiTheme="majorBidi" w:cstheme="majorBidi"/>
          <w:sz w:val="24"/>
          <w:szCs w:val="24"/>
        </w:rPr>
        <w:t>ology and pathogenesis can be helpful for planning</w:t>
      </w:r>
      <w:r w:rsidR="0013252E" w:rsidRPr="0024120A">
        <w:rPr>
          <w:rFonts w:asciiTheme="majorBidi" w:hAnsiTheme="majorBidi" w:cstheme="majorBidi"/>
          <w:sz w:val="24"/>
          <w:szCs w:val="24"/>
        </w:rPr>
        <w:t xml:space="preserve"> n</w:t>
      </w:r>
      <w:r w:rsidR="00442A5F">
        <w:rPr>
          <w:rFonts w:asciiTheme="majorBidi" w:hAnsiTheme="majorBidi" w:cstheme="majorBidi"/>
          <w:sz w:val="24"/>
          <w:szCs w:val="24"/>
        </w:rPr>
        <w:t>ovel and effective management strategies to control fu</w:t>
      </w:r>
      <w:r w:rsidR="0013252E" w:rsidRPr="0024120A">
        <w:rPr>
          <w:rFonts w:asciiTheme="majorBidi" w:hAnsiTheme="majorBidi" w:cstheme="majorBidi"/>
          <w:sz w:val="24"/>
          <w:szCs w:val="24"/>
        </w:rPr>
        <w:t xml:space="preserve">ngal diseases, drug resistance, mycotoxin contamination, </w:t>
      </w:r>
      <w:r w:rsidR="00442A5F">
        <w:rPr>
          <w:rFonts w:asciiTheme="majorBidi" w:hAnsiTheme="majorBidi" w:cstheme="majorBidi"/>
          <w:sz w:val="24"/>
          <w:szCs w:val="24"/>
        </w:rPr>
        <w:t xml:space="preserve">which leads to promotion of </w:t>
      </w:r>
      <w:r w:rsidR="0013252E" w:rsidRPr="0024120A">
        <w:rPr>
          <w:rFonts w:asciiTheme="majorBidi" w:hAnsiTheme="majorBidi" w:cstheme="majorBidi"/>
          <w:sz w:val="24"/>
          <w:szCs w:val="24"/>
        </w:rPr>
        <w:t>human, animal, plant and ecosystem health.</w:t>
      </w:r>
    </w:p>
    <w:p w14:paraId="649BA7F2" w14:textId="7B7CA7C5" w:rsidR="00A7619B" w:rsidRDefault="00A7619B" w:rsidP="00D87F5F">
      <w:pPr>
        <w:jc w:val="lowKashida"/>
        <w:rPr>
          <w:rFonts w:asciiTheme="majorBidi" w:hAnsiTheme="majorBidi" w:cstheme="majorBidi"/>
          <w:sz w:val="24"/>
          <w:szCs w:val="24"/>
          <w:lang w:bidi="fa-IR"/>
        </w:rPr>
      </w:pPr>
      <w:r w:rsidRPr="00A7619B">
        <w:rPr>
          <w:rFonts w:asciiTheme="majorBidi" w:hAnsiTheme="majorBidi" w:cstheme="majorBidi"/>
          <w:b/>
          <w:bCs/>
          <w:sz w:val="24"/>
          <w:szCs w:val="24"/>
        </w:rPr>
        <w:t xml:space="preserve">Key words: </w:t>
      </w:r>
      <w:r w:rsidR="00431028">
        <w:rPr>
          <w:rFonts w:asciiTheme="majorBidi" w:hAnsiTheme="majorBidi" w:cstheme="majorBidi"/>
          <w:sz w:val="24"/>
          <w:szCs w:val="24"/>
        </w:rPr>
        <w:t>F</w:t>
      </w:r>
      <w:r w:rsidR="002A4AC6" w:rsidRPr="002A4AC6">
        <w:rPr>
          <w:rFonts w:asciiTheme="majorBidi" w:hAnsiTheme="majorBidi" w:cstheme="majorBidi"/>
          <w:sz w:val="24"/>
          <w:szCs w:val="24"/>
        </w:rPr>
        <w:t xml:space="preserve">ungi, GPCR, </w:t>
      </w:r>
      <w:r w:rsidR="00431028">
        <w:rPr>
          <w:rFonts w:asciiTheme="majorBidi" w:hAnsiTheme="majorBidi" w:cstheme="majorBidi"/>
          <w:sz w:val="24"/>
          <w:szCs w:val="24"/>
          <w:lang w:bidi="fa-IR"/>
        </w:rPr>
        <w:t>S</w:t>
      </w:r>
      <w:r w:rsidR="002A4AC6" w:rsidRPr="002A4AC6">
        <w:rPr>
          <w:rFonts w:asciiTheme="majorBidi" w:hAnsiTheme="majorBidi" w:cstheme="majorBidi"/>
          <w:sz w:val="24"/>
          <w:szCs w:val="24"/>
          <w:lang w:bidi="fa-IR"/>
        </w:rPr>
        <w:t>ignal trans</w:t>
      </w:r>
      <w:r w:rsidR="00D87F5F">
        <w:rPr>
          <w:rFonts w:asciiTheme="majorBidi" w:hAnsiTheme="majorBidi" w:cstheme="majorBidi"/>
          <w:sz w:val="24"/>
          <w:szCs w:val="24"/>
          <w:lang w:bidi="fa-IR"/>
        </w:rPr>
        <w:t>duction</w:t>
      </w:r>
      <w:r w:rsidR="002A4AC6" w:rsidRPr="002A4AC6">
        <w:rPr>
          <w:rFonts w:asciiTheme="majorBidi" w:hAnsiTheme="majorBidi" w:cstheme="majorBidi"/>
          <w:sz w:val="24"/>
          <w:szCs w:val="24"/>
          <w:lang w:bidi="fa-IR"/>
        </w:rPr>
        <w:t xml:space="preserve">, </w:t>
      </w:r>
      <w:r w:rsidR="00431028">
        <w:rPr>
          <w:rFonts w:asciiTheme="majorBidi" w:hAnsiTheme="majorBidi" w:cstheme="majorBidi"/>
          <w:sz w:val="24"/>
          <w:szCs w:val="24"/>
          <w:lang w:bidi="fa-IR"/>
        </w:rPr>
        <w:t>P</w:t>
      </w:r>
      <w:r w:rsidR="002A4AC6" w:rsidRPr="002A4AC6">
        <w:rPr>
          <w:rFonts w:asciiTheme="majorBidi" w:hAnsiTheme="majorBidi" w:cstheme="majorBidi"/>
          <w:sz w:val="24"/>
          <w:szCs w:val="24"/>
          <w:lang w:bidi="fa-IR"/>
        </w:rPr>
        <w:t xml:space="preserve">hysiology, </w:t>
      </w:r>
      <w:r w:rsidR="00431028">
        <w:rPr>
          <w:rFonts w:asciiTheme="majorBidi" w:hAnsiTheme="majorBidi" w:cstheme="majorBidi"/>
          <w:sz w:val="24"/>
          <w:szCs w:val="24"/>
          <w:lang w:bidi="fa-IR"/>
        </w:rPr>
        <w:t>P</w:t>
      </w:r>
      <w:r w:rsidR="002A4AC6" w:rsidRPr="002A4AC6">
        <w:rPr>
          <w:rFonts w:asciiTheme="majorBidi" w:hAnsiTheme="majorBidi" w:cstheme="majorBidi"/>
          <w:sz w:val="24"/>
          <w:szCs w:val="24"/>
          <w:lang w:bidi="fa-IR"/>
        </w:rPr>
        <w:t>athogenicity</w:t>
      </w:r>
    </w:p>
    <w:p w14:paraId="1FA7A45C" w14:textId="77777777" w:rsidR="00B5113E" w:rsidRPr="00A7619B" w:rsidRDefault="00B5113E" w:rsidP="00442A5F">
      <w:pPr>
        <w:jc w:val="lowKashida"/>
        <w:rPr>
          <w:rFonts w:asciiTheme="majorBidi" w:hAnsiTheme="majorBidi" w:cstheme="majorBidi"/>
          <w:b/>
          <w:bCs/>
          <w:sz w:val="24"/>
          <w:szCs w:val="24"/>
          <w:lang w:bidi="fa-IR"/>
        </w:rPr>
      </w:pPr>
    </w:p>
    <w:sectPr w:rsidR="00B5113E" w:rsidRPr="00A7619B" w:rsidSect="00630CC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C49"/>
    <w:rsid w:val="0003014D"/>
    <w:rsid w:val="00031100"/>
    <w:rsid w:val="00053A56"/>
    <w:rsid w:val="0013252E"/>
    <w:rsid w:val="00170C0D"/>
    <w:rsid w:val="00182AB4"/>
    <w:rsid w:val="001A317F"/>
    <w:rsid w:val="0024120A"/>
    <w:rsid w:val="002A4AC6"/>
    <w:rsid w:val="0031286F"/>
    <w:rsid w:val="003818F7"/>
    <w:rsid w:val="00392C17"/>
    <w:rsid w:val="0039642E"/>
    <w:rsid w:val="00396D84"/>
    <w:rsid w:val="003B4282"/>
    <w:rsid w:val="004305EA"/>
    <w:rsid w:val="00431028"/>
    <w:rsid w:val="00442A5F"/>
    <w:rsid w:val="0044501B"/>
    <w:rsid w:val="004C22EE"/>
    <w:rsid w:val="004C319B"/>
    <w:rsid w:val="004F7C2C"/>
    <w:rsid w:val="00541E52"/>
    <w:rsid w:val="005A7E31"/>
    <w:rsid w:val="005E21A7"/>
    <w:rsid w:val="00630CC9"/>
    <w:rsid w:val="00711236"/>
    <w:rsid w:val="00795C7D"/>
    <w:rsid w:val="007B08E5"/>
    <w:rsid w:val="007D3F8D"/>
    <w:rsid w:val="00850781"/>
    <w:rsid w:val="008E7765"/>
    <w:rsid w:val="00941547"/>
    <w:rsid w:val="009723E5"/>
    <w:rsid w:val="009F4114"/>
    <w:rsid w:val="00A3573E"/>
    <w:rsid w:val="00A63B49"/>
    <w:rsid w:val="00A7619B"/>
    <w:rsid w:val="00AE6C33"/>
    <w:rsid w:val="00B5113E"/>
    <w:rsid w:val="00B5486D"/>
    <w:rsid w:val="00B54EF4"/>
    <w:rsid w:val="00C42ABC"/>
    <w:rsid w:val="00C62591"/>
    <w:rsid w:val="00C82420"/>
    <w:rsid w:val="00CA12E9"/>
    <w:rsid w:val="00CB1DB8"/>
    <w:rsid w:val="00CF24B9"/>
    <w:rsid w:val="00D74ABB"/>
    <w:rsid w:val="00D87F5F"/>
    <w:rsid w:val="00DD669D"/>
    <w:rsid w:val="00F003BC"/>
    <w:rsid w:val="00F16C42"/>
    <w:rsid w:val="00FA0C39"/>
    <w:rsid w:val="00FC2C49"/>
    <w:rsid w:val="00FE0F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FE563"/>
  <w15:chartTrackingRefBased/>
  <w15:docId w15:val="{BFCEBE7E-3FFF-4A17-BEF4-A6ED82BB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9716544025</dc:creator>
  <cp:keywords/>
  <dc:description/>
  <cp:lastModifiedBy>9716544025</cp:lastModifiedBy>
  <cp:revision>12</cp:revision>
  <dcterms:created xsi:type="dcterms:W3CDTF">2019-04-24T04:46:00Z</dcterms:created>
  <dcterms:modified xsi:type="dcterms:W3CDTF">2019-04-27T03:12:00Z</dcterms:modified>
</cp:coreProperties>
</file>