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DF" w:rsidRPr="002C0ADF" w:rsidRDefault="002C0ADF" w:rsidP="002C0ADF">
      <w:pPr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44F5">
        <w:rPr>
          <w:rFonts w:ascii="Times New Roman" w:hAnsi="Times New Roman" w:cs="Times New Roman"/>
          <w:b/>
          <w:bCs/>
          <w:sz w:val="28"/>
          <w:szCs w:val="28"/>
        </w:rPr>
        <w:t xml:space="preserve">Improvement of stability and reusability of α-amylase immobilized on </w:t>
      </w:r>
      <w:proofErr w:type="spellStart"/>
      <w:r w:rsidRPr="003744F5">
        <w:rPr>
          <w:rFonts w:ascii="Times New Roman" w:hAnsi="Times New Roman" w:cs="Times New Roman"/>
          <w:b/>
          <w:bCs/>
          <w:sz w:val="28"/>
          <w:szCs w:val="28"/>
        </w:rPr>
        <w:t>naringin</w:t>
      </w:r>
      <w:proofErr w:type="spellEnd"/>
      <w:r w:rsidRPr="003744F5">
        <w:rPr>
          <w:rFonts w:ascii="Times New Roman" w:hAnsi="Times New Roman" w:cs="Times New Roman"/>
          <w:b/>
          <w:bCs/>
          <w:sz w:val="28"/>
          <w:szCs w:val="28"/>
        </w:rPr>
        <w:t xml:space="preserve"> functionalized magnetic nanoparticles: A robust </w:t>
      </w:r>
      <w:proofErr w:type="spellStart"/>
      <w:r w:rsidRPr="003744F5">
        <w:rPr>
          <w:rFonts w:ascii="Times New Roman" w:hAnsi="Times New Roman" w:cs="Times New Roman"/>
          <w:b/>
          <w:bCs/>
          <w:sz w:val="28"/>
          <w:szCs w:val="28"/>
        </w:rPr>
        <w:t>nanobiocatalyst</w:t>
      </w:r>
      <w:proofErr w:type="spellEnd"/>
      <w:r w:rsidRPr="003744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C0ADF" w:rsidRPr="000A1690" w:rsidRDefault="002C0ADF" w:rsidP="002C0ADF">
      <w:pPr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21D3B">
        <w:rPr>
          <w:rFonts w:ascii="Times New Roman" w:hAnsi="Times New Roman" w:cs="Times New Roman"/>
          <w:sz w:val="26"/>
          <w:szCs w:val="26"/>
          <w:u w:val="single"/>
        </w:rPr>
        <w:t>Mahshid</w:t>
      </w:r>
      <w:proofErr w:type="spellEnd"/>
      <w:r w:rsidRPr="00421D3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421D3B">
        <w:rPr>
          <w:rFonts w:ascii="Times New Roman" w:hAnsi="Times New Roman" w:cs="Times New Roman"/>
          <w:sz w:val="26"/>
          <w:szCs w:val="26"/>
          <w:u w:val="single"/>
        </w:rPr>
        <w:t>Defaei</w:t>
      </w:r>
      <w:proofErr w:type="spellEnd"/>
      <w:r w:rsidRPr="00421D3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21D3B">
        <w:rPr>
          <w:rFonts w:ascii="Times New Roman" w:hAnsi="Times New Roman" w:cs="Times New Roman"/>
          <w:sz w:val="26"/>
          <w:szCs w:val="26"/>
          <w:u w:val="single"/>
          <w:vertAlign w:val="superscript"/>
        </w:rPr>
        <w:t>a</w:t>
      </w:r>
      <w:r w:rsidRPr="00154C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54CF2">
        <w:rPr>
          <w:rFonts w:ascii="Times New Roman" w:hAnsi="Times New Roman" w:cs="Times New Roman"/>
          <w:sz w:val="26"/>
          <w:szCs w:val="26"/>
        </w:rPr>
        <w:t>Asghar</w:t>
      </w:r>
      <w:proofErr w:type="spellEnd"/>
      <w:r w:rsidRPr="00154CF2">
        <w:rPr>
          <w:rFonts w:ascii="Times New Roman" w:hAnsi="Times New Roman" w:cs="Times New Roman"/>
          <w:sz w:val="26"/>
          <w:szCs w:val="26"/>
        </w:rPr>
        <w:t xml:space="preserve"> Taheri-</w:t>
      </w:r>
      <w:proofErr w:type="spellStart"/>
      <w:r w:rsidRPr="00154CF2">
        <w:rPr>
          <w:rFonts w:ascii="Times New Roman" w:hAnsi="Times New Roman" w:cs="Times New Roman"/>
          <w:sz w:val="26"/>
          <w:szCs w:val="26"/>
        </w:rPr>
        <w:t>Kafrani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54CF2">
        <w:rPr>
          <w:rFonts w:ascii="Times New Roman" w:hAnsi="Times New Roman" w:cs="Times New Roman"/>
          <w:sz w:val="26"/>
          <w:szCs w:val="26"/>
          <w:vertAlign w:val="superscript"/>
        </w:rPr>
        <w:t>b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,</w:t>
      </w:r>
      <w:r w:rsidRPr="00154CF2">
        <w:rPr>
          <w:rFonts w:ascii="Times New Roman" w:hAnsi="Times New Roman" w:cs="Times New Roman"/>
          <w:sz w:val="26"/>
          <w:szCs w:val="26"/>
          <w:vertAlign w:val="superscript"/>
        </w:rPr>
        <w:t>*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Mehran </w:t>
      </w:r>
      <w:proofErr w:type="spellStart"/>
      <w:r>
        <w:rPr>
          <w:rFonts w:ascii="Times New Roman" w:hAnsi="Times New Roman" w:cs="Times New Roman"/>
          <w:sz w:val="26"/>
          <w:szCs w:val="26"/>
        </w:rPr>
        <w:t>Miroliaei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54CF2">
        <w:rPr>
          <w:rFonts w:ascii="Times New Roman" w:hAnsi="Times New Roman" w:cs="Times New Roman"/>
          <w:sz w:val="26"/>
          <w:szCs w:val="26"/>
          <w:vertAlign w:val="superscript"/>
        </w:rPr>
        <w:t>c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Parichehreh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Yaghmaei</w:t>
      </w:r>
      <w:proofErr w:type="spellEnd"/>
      <w:r w:rsidRPr="000A1690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154CF2">
        <w:rPr>
          <w:rFonts w:ascii="Times New Roman" w:hAnsi="Times New Roman" w:cs="Times New Roman"/>
          <w:sz w:val="26"/>
          <w:szCs w:val="26"/>
          <w:vertAlign w:val="superscript"/>
        </w:rPr>
        <w:t>a</w:t>
      </w:r>
    </w:p>
    <w:p w:rsidR="002C0ADF" w:rsidRDefault="002C0ADF" w:rsidP="002C0ADF">
      <w:pPr>
        <w:jc w:val="both"/>
        <w:rPr>
          <w:rFonts w:ascii="Times New Roman" w:eastAsia="Calibri" w:hAnsi="Times New Roman" w:cs="Times New Roman"/>
          <w:i/>
          <w:iCs/>
          <w:w w:val="108"/>
          <w:szCs w:val="24"/>
          <w:lang w:val="en-GB" w:eastAsia="de-DE"/>
        </w:rPr>
      </w:pPr>
      <w:r>
        <w:rPr>
          <w:rFonts w:ascii="Times New Roman" w:eastAsia="Calibri" w:hAnsi="Times New Roman" w:cs="Times New Roman"/>
          <w:i/>
          <w:iCs/>
          <w:w w:val="105"/>
          <w:szCs w:val="24"/>
          <w:vertAlign w:val="superscript"/>
          <w:lang w:val="en-GB" w:eastAsia="de-DE"/>
        </w:rPr>
        <w:t>a</w:t>
      </w:r>
      <w:r>
        <w:rPr>
          <w:rFonts w:ascii="Times New Roman" w:eastAsia="Calibri" w:hAnsi="Times New Roman" w:cs="Times New Roman"/>
          <w:i/>
          <w:iCs/>
          <w:w w:val="108"/>
          <w:szCs w:val="24"/>
          <w:lang w:val="en-GB" w:eastAsia="de-DE"/>
        </w:rPr>
        <w:t xml:space="preserve"> Department of Biology, Science and Research Branch, Islamic Azad University, Tehran, Iran.</w:t>
      </w:r>
    </w:p>
    <w:p w:rsidR="002C0ADF" w:rsidRDefault="002C0ADF" w:rsidP="002C0ADF">
      <w:pPr>
        <w:jc w:val="both"/>
        <w:rPr>
          <w:rFonts w:ascii="Times New Roman" w:eastAsia="Calibri" w:hAnsi="Times New Roman" w:cs="Times New Roman"/>
          <w:i/>
          <w:iCs/>
          <w:w w:val="108"/>
          <w:szCs w:val="24"/>
          <w:lang w:val="en-GB" w:eastAsia="de-DE"/>
        </w:rPr>
      </w:pPr>
      <w:r>
        <w:rPr>
          <w:rFonts w:ascii="Times New Roman" w:eastAsia="Calibri" w:hAnsi="Times New Roman" w:cs="Times New Roman"/>
          <w:i/>
          <w:iCs/>
          <w:w w:val="108"/>
          <w:szCs w:val="24"/>
          <w:vertAlign w:val="superscript"/>
          <w:lang w:val="en-GB" w:eastAsia="de-DE"/>
        </w:rPr>
        <w:t>b</w:t>
      </w:r>
      <w:r>
        <w:rPr>
          <w:rFonts w:ascii="Times New Roman" w:eastAsia="Calibri" w:hAnsi="Times New Roman" w:cs="Times New Roman"/>
          <w:i/>
          <w:iCs/>
          <w:w w:val="108"/>
          <w:szCs w:val="24"/>
          <w:lang w:val="en-GB" w:eastAsia="de-DE"/>
        </w:rPr>
        <w:t xml:space="preserve"> Department of Biotechnology, Faculty of Advanced Sciences and Technologies, University of Isfahan, Isfahan, 81746-73441, Iran.</w:t>
      </w:r>
    </w:p>
    <w:p w:rsidR="002C0ADF" w:rsidRDefault="002C0ADF" w:rsidP="002C0ADF">
      <w:pPr>
        <w:jc w:val="both"/>
        <w:rPr>
          <w:rFonts w:ascii="Times New Roman" w:eastAsia="Calibri" w:hAnsi="Times New Roman" w:cs="Times New Roman"/>
          <w:i/>
          <w:iCs/>
          <w:w w:val="108"/>
          <w:szCs w:val="24"/>
          <w:lang w:val="en-GB" w:eastAsia="de-DE"/>
        </w:rPr>
      </w:pPr>
      <w:r>
        <w:rPr>
          <w:rFonts w:ascii="Times New Roman" w:eastAsia="Calibri" w:hAnsi="Times New Roman" w:cs="Times New Roman"/>
          <w:i/>
          <w:iCs/>
          <w:w w:val="108"/>
          <w:szCs w:val="24"/>
          <w:vertAlign w:val="superscript"/>
          <w:lang w:val="en-GB" w:eastAsia="de-DE"/>
        </w:rPr>
        <w:t>c</w:t>
      </w:r>
      <w:r>
        <w:rPr>
          <w:rFonts w:ascii="Times New Roman" w:eastAsia="Calibri" w:hAnsi="Times New Roman" w:cs="Times New Roman"/>
          <w:i/>
          <w:iCs/>
          <w:w w:val="108"/>
          <w:szCs w:val="24"/>
          <w:lang w:val="en-GB" w:eastAsia="de-DE"/>
        </w:rPr>
        <w:t xml:space="preserve"> </w:t>
      </w:r>
      <w:r>
        <w:rPr>
          <w:rFonts w:ascii="Times New Roman" w:eastAsia="Calibri" w:hAnsi="Times New Roman" w:cs="Times New Roman"/>
          <w:i/>
          <w:iCs/>
          <w:w w:val="105"/>
          <w:szCs w:val="24"/>
          <w:lang w:val="en-GB" w:eastAsia="de-DE"/>
        </w:rPr>
        <w:t>Department of Biology, University of Isfahan, Isfahan, 81746-73441, Iran</w:t>
      </w:r>
      <w:r>
        <w:rPr>
          <w:rFonts w:ascii="Times New Roman" w:eastAsia="Calibri" w:hAnsi="Times New Roman" w:cs="Times New Roman"/>
          <w:i/>
          <w:iCs/>
          <w:w w:val="108"/>
          <w:szCs w:val="24"/>
          <w:lang w:val="en-GB" w:eastAsia="de-DE"/>
        </w:rPr>
        <w:t>.</w:t>
      </w:r>
    </w:p>
    <w:p w:rsidR="00A64CC6" w:rsidRPr="00A64CC6" w:rsidRDefault="00A64CC6" w:rsidP="00A64CC6">
      <w:pPr>
        <w:autoSpaceDE w:val="0"/>
        <w:autoSpaceDN w:val="0"/>
        <w:adjustRightInd w:val="0"/>
        <w:jc w:val="both"/>
        <w:rPr>
          <w:rFonts w:cstheme="majorBidi"/>
          <w:b/>
          <w:bCs/>
          <w:color w:val="000000"/>
          <w:szCs w:val="24"/>
        </w:rPr>
      </w:pPr>
      <w:bookmarkStart w:id="0" w:name="_GoBack"/>
      <w:bookmarkEnd w:id="0"/>
      <w:r w:rsidRPr="00A64CC6">
        <w:rPr>
          <w:rFonts w:cstheme="majorBidi"/>
          <w:b/>
          <w:bCs/>
          <w:color w:val="000000"/>
          <w:szCs w:val="24"/>
        </w:rPr>
        <w:t>Abstract</w:t>
      </w:r>
    </w:p>
    <w:p w:rsidR="00A64CC6" w:rsidRPr="00A64CC6" w:rsidRDefault="00A64CC6" w:rsidP="00A64CC6">
      <w:pPr>
        <w:autoSpaceDE w:val="0"/>
        <w:autoSpaceDN w:val="0"/>
        <w:adjustRightInd w:val="0"/>
        <w:jc w:val="both"/>
        <w:rPr>
          <w:rFonts w:cstheme="majorBidi"/>
          <w:szCs w:val="24"/>
          <w:lang w:bidi="en-US"/>
        </w:rPr>
      </w:pPr>
      <w:r w:rsidRPr="00A64CC6">
        <w:rPr>
          <w:rFonts w:cstheme="majorBidi"/>
          <w:szCs w:val="24"/>
        </w:rPr>
        <w:t xml:space="preserve">Enzyme immobilization on magnetic nanoparticles (MNPs) can be used as efficient recoverable biocatalysts under strong magnetic responses. In the present work, </w:t>
      </w:r>
      <w:r w:rsidRPr="00A64CC6">
        <w:rPr>
          <w:rStyle w:val="alt-edited"/>
          <w:rFonts w:cstheme="majorBidi"/>
          <w:szCs w:val="24"/>
        </w:rPr>
        <w:t xml:space="preserve">the </w:t>
      </w:r>
      <w:r w:rsidRPr="00A64CC6">
        <w:rPr>
          <w:rStyle w:val="Bodytext2"/>
          <w:rFonts w:eastAsiaTheme="minorHAnsi" w:cstheme="majorBidi"/>
          <w:sz w:val="24"/>
          <w:szCs w:val="24"/>
        </w:rPr>
        <w:t xml:space="preserve">MNPs were functionalized with </w:t>
      </w:r>
      <w:proofErr w:type="spellStart"/>
      <w:r w:rsidRPr="00A64CC6">
        <w:rPr>
          <w:rStyle w:val="Bodytext2"/>
          <w:rFonts w:eastAsiaTheme="minorHAnsi" w:cstheme="majorBidi"/>
          <w:sz w:val="24"/>
          <w:szCs w:val="24"/>
        </w:rPr>
        <w:t>naringin</w:t>
      </w:r>
      <w:proofErr w:type="spellEnd"/>
      <w:r w:rsidRPr="00A64CC6">
        <w:rPr>
          <w:rStyle w:val="Bodytext2"/>
          <w:rFonts w:eastAsiaTheme="minorHAnsi" w:cstheme="majorBidi"/>
          <w:sz w:val="24"/>
          <w:szCs w:val="24"/>
        </w:rPr>
        <w:t xml:space="preserve">, as a biocompatible flavonoid, and </w:t>
      </w:r>
      <w:r w:rsidRPr="00A64CC6">
        <w:rPr>
          <w:rFonts w:cstheme="majorBidi"/>
          <w:szCs w:val="24"/>
        </w:rPr>
        <w:t xml:space="preserve">α-amylase was then immobilized on them </w:t>
      </w:r>
      <w:r w:rsidRPr="00A64CC6">
        <w:rPr>
          <w:rStyle w:val="alt-edited"/>
          <w:rFonts w:cstheme="majorBidi"/>
          <w:szCs w:val="24"/>
        </w:rPr>
        <w:t>via ionic interactions</w:t>
      </w:r>
      <w:r w:rsidRPr="00A64CC6">
        <w:rPr>
          <w:rStyle w:val="Bodytext2"/>
          <w:rFonts w:eastAsiaTheme="minorHAnsi" w:cstheme="majorBidi"/>
          <w:sz w:val="24"/>
          <w:szCs w:val="24"/>
        </w:rPr>
        <w:t>.</w:t>
      </w:r>
      <w:r w:rsidRPr="00A64CC6">
        <w:rPr>
          <w:rFonts w:cstheme="majorBidi"/>
          <w:szCs w:val="24"/>
        </w:rPr>
        <w:t xml:space="preserve"> The functionalization and immobilization processes were </w:t>
      </w:r>
      <w:r w:rsidRPr="00A64CC6">
        <w:rPr>
          <w:rStyle w:val="Bodytext2"/>
          <w:rFonts w:eastAsiaTheme="minorHAnsi" w:cstheme="majorBidi"/>
          <w:sz w:val="24"/>
          <w:szCs w:val="24"/>
        </w:rPr>
        <w:t>characterized</w:t>
      </w:r>
      <w:r w:rsidRPr="00A64CC6">
        <w:rPr>
          <w:rFonts w:cstheme="majorBidi"/>
          <w:szCs w:val="24"/>
        </w:rPr>
        <w:t xml:space="preserve"> through different analytical tools including TGA, VSM, FTIR, SEM-EDX and TEM. Furthermore, the optimum conditions of temperature, pH, reaction time and enzyme concentration for immobilization process were investigated. The results showed that the optimal conditions for immobilization of α-amylase onto synthesized </w:t>
      </w:r>
      <w:proofErr w:type="spellStart"/>
      <w:r w:rsidRPr="00A64CC6">
        <w:rPr>
          <w:rFonts w:cstheme="majorBidi"/>
          <w:szCs w:val="24"/>
        </w:rPr>
        <w:t>nanocarrier</w:t>
      </w:r>
      <w:proofErr w:type="spellEnd"/>
      <w:r w:rsidRPr="00A64CC6">
        <w:rPr>
          <w:rFonts w:cstheme="majorBidi"/>
          <w:szCs w:val="24"/>
        </w:rPr>
        <w:t xml:space="preserve"> occurred at pH 6.5 and 55 °C. The reusability experiments revealed high activity maintenance of immobilized α -amylase even after 10 reaction cycles. </w:t>
      </w:r>
      <w:r w:rsidRPr="00A64CC6">
        <w:rPr>
          <w:rFonts w:eastAsia="Times New Roman" w:cstheme="majorBidi"/>
          <w:szCs w:val="24"/>
          <w:lang w:bidi="en-US"/>
        </w:rPr>
        <w:t xml:space="preserve">Moreover, the storage stability of immobilized enzyme improved via immobilization. </w:t>
      </w:r>
      <w:r w:rsidRPr="00A64CC6">
        <w:rPr>
          <w:rFonts w:cstheme="majorBidi"/>
          <w:szCs w:val="24"/>
        </w:rPr>
        <w:t xml:space="preserve">The improvements in enzyme catalytic properties via immobilization made this </w:t>
      </w:r>
      <w:proofErr w:type="spellStart"/>
      <w:r w:rsidRPr="00A64CC6">
        <w:rPr>
          <w:rFonts w:cstheme="majorBidi"/>
          <w:szCs w:val="24"/>
        </w:rPr>
        <w:t>nanobiocatalyst</w:t>
      </w:r>
      <w:proofErr w:type="spellEnd"/>
      <w:r w:rsidRPr="00A64CC6">
        <w:rPr>
          <w:rFonts w:cstheme="majorBidi"/>
          <w:szCs w:val="24"/>
        </w:rPr>
        <w:t xml:space="preserve"> as a good candidate in bio-industrial applications. </w:t>
      </w:r>
    </w:p>
    <w:p w:rsidR="00A64CC6" w:rsidRPr="00A64CC6" w:rsidRDefault="00A64CC6" w:rsidP="00A64CC6">
      <w:pPr>
        <w:jc w:val="both"/>
        <w:rPr>
          <w:rFonts w:cstheme="majorBidi"/>
          <w:color w:val="131413"/>
          <w:szCs w:val="24"/>
          <w:lang w:bidi="en-US"/>
        </w:rPr>
      </w:pPr>
      <w:r w:rsidRPr="00A64CC6">
        <w:rPr>
          <w:rStyle w:val="Bodytext2"/>
          <w:rFonts w:eastAsiaTheme="minorHAnsi" w:cstheme="majorBidi"/>
          <w:b/>
          <w:bCs/>
          <w:i/>
          <w:iCs/>
          <w:sz w:val="24"/>
          <w:szCs w:val="24"/>
        </w:rPr>
        <w:t>Keywords</w:t>
      </w:r>
      <w:r w:rsidRPr="00A64CC6">
        <w:rPr>
          <w:rStyle w:val="Bodytext2"/>
          <w:rFonts w:eastAsiaTheme="minorHAnsi" w:cstheme="majorBidi"/>
          <w:b/>
          <w:bCs/>
          <w:sz w:val="24"/>
          <w:szCs w:val="24"/>
        </w:rPr>
        <w:t>:</w:t>
      </w:r>
      <w:r w:rsidRPr="00A64CC6">
        <w:rPr>
          <w:rStyle w:val="Bodytext2"/>
          <w:rFonts w:eastAsiaTheme="minorHAnsi" w:cstheme="majorBidi"/>
          <w:sz w:val="24"/>
          <w:szCs w:val="24"/>
        </w:rPr>
        <w:t xml:space="preserve"> </w:t>
      </w:r>
      <w:r w:rsidRPr="00A64CC6">
        <w:rPr>
          <w:rFonts w:cstheme="majorBidi"/>
          <w:color w:val="131413"/>
          <w:szCs w:val="24"/>
          <w:lang w:bidi="en-US"/>
        </w:rPr>
        <w:t>α-Amylase</w:t>
      </w:r>
      <w:r w:rsidRPr="00A64CC6">
        <w:rPr>
          <w:rStyle w:val="Bodytext2"/>
          <w:rFonts w:eastAsiaTheme="minorHAnsi" w:cstheme="majorBidi"/>
          <w:sz w:val="24"/>
          <w:szCs w:val="24"/>
        </w:rPr>
        <w:t xml:space="preserve">, Immobilization; </w:t>
      </w:r>
      <w:r w:rsidRPr="00A64CC6">
        <w:rPr>
          <w:rFonts w:cstheme="majorBidi"/>
          <w:color w:val="000000"/>
          <w:szCs w:val="24"/>
        </w:rPr>
        <w:t>Magnetic nanoparticles</w:t>
      </w:r>
      <w:r w:rsidRPr="00A64CC6">
        <w:rPr>
          <w:rFonts w:cstheme="majorBidi"/>
          <w:color w:val="131413"/>
          <w:szCs w:val="24"/>
          <w:lang w:bidi="en-US"/>
        </w:rPr>
        <w:t xml:space="preserve">; </w:t>
      </w:r>
      <w:proofErr w:type="spellStart"/>
      <w:r w:rsidRPr="00A64CC6">
        <w:rPr>
          <w:rFonts w:cstheme="majorBidi"/>
          <w:color w:val="131413"/>
          <w:szCs w:val="24"/>
          <w:lang w:bidi="en-US"/>
        </w:rPr>
        <w:t>Naringin</w:t>
      </w:r>
      <w:proofErr w:type="spellEnd"/>
      <w:r w:rsidRPr="00A64CC6">
        <w:rPr>
          <w:rFonts w:cstheme="majorBidi"/>
          <w:color w:val="131413"/>
          <w:szCs w:val="24"/>
          <w:lang w:bidi="en-US"/>
        </w:rPr>
        <w:t>; Reusability</w:t>
      </w:r>
    </w:p>
    <w:p w:rsidR="00972418" w:rsidRDefault="007F0FFB">
      <w:pPr>
        <w:rPr>
          <w:rFonts w:hint="cs"/>
          <w:rtl/>
          <w:lang w:bidi="fa-IR"/>
        </w:rPr>
      </w:pPr>
    </w:p>
    <w:sectPr w:rsidR="00972418" w:rsidSect="008B17A5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838"/>
    <w:rsid w:val="002C0ADF"/>
    <w:rsid w:val="00421D3B"/>
    <w:rsid w:val="00501366"/>
    <w:rsid w:val="007F0FFB"/>
    <w:rsid w:val="008B17A5"/>
    <w:rsid w:val="00A64CC6"/>
    <w:rsid w:val="00B7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D31CBFB"/>
  <w15:chartTrackingRefBased/>
  <w15:docId w15:val="{AB4E6386-0B92-4622-A58A-F8A196A10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CC6"/>
    <w:pPr>
      <w:spacing w:after="0" w:line="480" w:lineRule="auto"/>
    </w:pPr>
    <w:rPr>
      <w:rFonts w:asciiTheme="majorBidi" w:hAnsiTheme="majorBidi"/>
      <w:sz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"/>
    <w:basedOn w:val="DefaultParagraphFont"/>
    <w:rsid w:val="00A64CC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131413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alt-edited">
    <w:name w:val="alt-edited"/>
    <w:basedOn w:val="DefaultParagraphFont"/>
    <w:rsid w:val="00A64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2019-04-19T18:43:00Z</dcterms:created>
  <dcterms:modified xsi:type="dcterms:W3CDTF">2019-04-19T18:47:00Z</dcterms:modified>
</cp:coreProperties>
</file>