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477" w:rsidRPr="004044F1" w:rsidRDefault="00E10477" w:rsidP="00E10477">
      <w:pPr>
        <w:rPr>
          <w:rFonts w:asciiTheme="majorBidi" w:hAnsiTheme="majorBidi" w:cs="B Nazanin"/>
          <w:b/>
          <w:bCs/>
          <w:sz w:val="24"/>
          <w:szCs w:val="24"/>
          <w:lang w:bidi="fa-IR"/>
        </w:rPr>
      </w:pPr>
      <w:r w:rsidRPr="004044F1">
        <w:rPr>
          <w:rFonts w:asciiTheme="majorBidi" w:hAnsiTheme="majorBidi" w:cs="B Nazanin"/>
          <w:b/>
          <w:bCs/>
          <w:sz w:val="24"/>
          <w:szCs w:val="24"/>
          <w:lang w:bidi="fa-IR"/>
        </w:rPr>
        <w:t xml:space="preserve">Investigation of </w:t>
      </w:r>
      <w:r>
        <w:rPr>
          <w:rFonts w:asciiTheme="majorBidi" w:hAnsiTheme="majorBidi" w:cstheme="majorBidi"/>
          <w:b/>
          <w:bCs/>
          <w:sz w:val="24"/>
          <w:szCs w:val="24"/>
          <w:lang w:bidi="fa-IR"/>
        </w:rPr>
        <w:t>Folic Acid</w:t>
      </w:r>
      <w:r w:rsidRPr="004044F1">
        <w:rPr>
          <w:rFonts w:asciiTheme="majorBidi" w:hAnsiTheme="majorBidi" w:cs="B Nazanin"/>
          <w:b/>
          <w:bCs/>
          <w:sz w:val="24"/>
          <w:szCs w:val="24"/>
          <w:lang w:bidi="fa-IR"/>
        </w:rPr>
        <w:t xml:space="preserve"> </w:t>
      </w:r>
      <w:r>
        <w:rPr>
          <w:rFonts w:asciiTheme="majorBidi" w:hAnsiTheme="majorBidi" w:cs="B Nazanin"/>
          <w:b/>
          <w:bCs/>
          <w:sz w:val="24"/>
          <w:szCs w:val="24"/>
          <w:lang w:bidi="fa-IR"/>
        </w:rPr>
        <w:t>E</w:t>
      </w:r>
      <w:r w:rsidRPr="004044F1">
        <w:rPr>
          <w:rFonts w:asciiTheme="majorBidi" w:hAnsiTheme="majorBidi" w:cs="B Nazanin"/>
          <w:b/>
          <w:bCs/>
          <w:sz w:val="24"/>
          <w:szCs w:val="24"/>
          <w:lang w:bidi="fa-IR"/>
        </w:rPr>
        <w:t xml:space="preserve">ffect on </w:t>
      </w:r>
      <w:r>
        <w:rPr>
          <w:rFonts w:asciiTheme="majorBidi" w:hAnsiTheme="majorBidi" w:cs="B Nazanin"/>
          <w:b/>
          <w:bCs/>
          <w:sz w:val="24"/>
          <w:szCs w:val="24"/>
          <w:lang w:bidi="fa-IR"/>
        </w:rPr>
        <w:t xml:space="preserve">the </w:t>
      </w:r>
      <w:r w:rsidRPr="004044F1">
        <w:rPr>
          <w:rFonts w:asciiTheme="majorBidi" w:hAnsiTheme="majorBidi" w:cs="B Nazanin"/>
          <w:b/>
          <w:bCs/>
          <w:sz w:val="24"/>
          <w:szCs w:val="24"/>
          <w:lang w:bidi="fa-IR"/>
        </w:rPr>
        <w:t>Aggregation</w:t>
      </w:r>
      <w:r w:rsidRPr="004044F1">
        <w:rPr>
          <w:rFonts w:asciiTheme="majorBidi" w:hAnsiTheme="majorBidi" w:cs="B Nazanin"/>
          <w:b/>
          <w:bCs/>
          <w:sz w:val="24"/>
          <w:szCs w:val="24"/>
          <w:lang w:bidi="fa-IR"/>
        </w:rPr>
        <w:t xml:space="preserve"> </w:t>
      </w:r>
      <w:r>
        <w:rPr>
          <w:rFonts w:asciiTheme="majorBidi" w:hAnsiTheme="majorBidi" w:cs="B Nazanin"/>
          <w:b/>
          <w:bCs/>
          <w:sz w:val="24"/>
          <w:szCs w:val="24"/>
          <w:lang w:bidi="fa-IR"/>
        </w:rPr>
        <w:t xml:space="preserve">of </w:t>
      </w:r>
      <w:r w:rsidRPr="004044F1">
        <w:rPr>
          <w:rFonts w:asciiTheme="majorBidi" w:hAnsiTheme="majorBidi" w:cs="B Nazanin"/>
          <w:b/>
          <w:bCs/>
          <w:sz w:val="24"/>
          <w:szCs w:val="24"/>
          <w:lang w:bidi="fa-IR"/>
        </w:rPr>
        <w:t xml:space="preserve">Tau Protein </w:t>
      </w:r>
      <w:proofErr w:type="gramStart"/>
      <w:r w:rsidRPr="004044F1">
        <w:rPr>
          <w:rFonts w:asciiTheme="majorBidi" w:hAnsiTheme="majorBidi" w:cs="B Nazanin"/>
          <w:b/>
          <w:bCs/>
          <w:sz w:val="24"/>
          <w:szCs w:val="24"/>
          <w:lang w:bidi="fa-IR"/>
        </w:rPr>
        <w:t>In</w:t>
      </w:r>
      <w:proofErr w:type="gramEnd"/>
      <w:r w:rsidRPr="004044F1">
        <w:rPr>
          <w:rFonts w:asciiTheme="majorBidi" w:hAnsiTheme="majorBidi" w:cs="B Nazanin"/>
          <w:b/>
          <w:bCs/>
          <w:sz w:val="24"/>
          <w:szCs w:val="24"/>
          <w:lang w:bidi="fa-IR"/>
        </w:rPr>
        <w:t xml:space="preserve"> </w:t>
      </w:r>
      <w:r>
        <w:rPr>
          <w:rFonts w:asciiTheme="majorBidi" w:hAnsiTheme="majorBidi" w:cs="B Nazanin"/>
          <w:b/>
          <w:bCs/>
          <w:sz w:val="24"/>
          <w:szCs w:val="24"/>
          <w:lang w:bidi="fa-IR"/>
        </w:rPr>
        <w:t>V</w:t>
      </w:r>
      <w:r w:rsidRPr="004044F1">
        <w:rPr>
          <w:rFonts w:asciiTheme="majorBidi" w:hAnsiTheme="majorBidi" w:cs="B Nazanin"/>
          <w:b/>
          <w:bCs/>
          <w:sz w:val="24"/>
          <w:szCs w:val="24"/>
          <w:lang w:bidi="fa-IR"/>
        </w:rPr>
        <w:t>itro</w:t>
      </w:r>
    </w:p>
    <w:p w:rsidR="00E10477" w:rsidRDefault="00E10477" w:rsidP="007A2C1E">
      <w:pPr>
        <w:jc w:val="both"/>
        <w:rPr>
          <w:rFonts w:asciiTheme="majorBidi" w:hAnsiTheme="majorBidi" w:cstheme="majorBidi"/>
          <w:i/>
          <w:iCs/>
          <w:sz w:val="20"/>
          <w:szCs w:val="20"/>
        </w:rPr>
      </w:pPr>
      <w:proofErr w:type="spellStart"/>
      <w:r w:rsidRPr="00E10477">
        <w:rPr>
          <w:rFonts w:asciiTheme="majorBidi" w:hAnsiTheme="majorBidi" w:cstheme="majorBidi"/>
          <w:i/>
          <w:iCs/>
          <w:sz w:val="20"/>
          <w:szCs w:val="20"/>
          <w:u w:val="single"/>
        </w:rPr>
        <w:t>Samin</w:t>
      </w:r>
      <w:proofErr w:type="spellEnd"/>
      <w:r w:rsidRPr="00E10477">
        <w:rPr>
          <w:rFonts w:asciiTheme="majorBidi" w:hAnsiTheme="majorBidi" w:cstheme="majorBidi"/>
          <w:i/>
          <w:iCs/>
          <w:sz w:val="20"/>
          <w:szCs w:val="20"/>
          <w:u w:val="single"/>
        </w:rPr>
        <w:t xml:space="preserve"> </w:t>
      </w:r>
      <w:proofErr w:type="spellStart"/>
      <w:r w:rsidRPr="00E10477">
        <w:rPr>
          <w:rFonts w:asciiTheme="majorBidi" w:hAnsiTheme="majorBidi" w:cstheme="majorBidi"/>
          <w:i/>
          <w:iCs/>
          <w:sz w:val="20"/>
          <w:szCs w:val="20"/>
          <w:u w:val="single"/>
        </w:rPr>
        <w:t>Ghasemzadeh</w:t>
      </w:r>
      <w:proofErr w:type="spellEnd"/>
      <w:r>
        <w:rPr>
          <w:rFonts w:asciiTheme="majorBidi" w:hAnsiTheme="majorBidi" w:cstheme="majorBidi"/>
          <w:i/>
          <w:iCs/>
          <w:sz w:val="20"/>
          <w:szCs w:val="20"/>
          <w:u w:val="single"/>
        </w:rPr>
        <w:t xml:space="preserve">; </w:t>
      </w:r>
      <w:proofErr w:type="spellStart"/>
      <w:r w:rsidRPr="004044F1">
        <w:rPr>
          <w:rFonts w:asciiTheme="majorBidi" w:hAnsiTheme="majorBidi" w:cstheme="majorBidi"/>
          <w:i/>
          <w:iCs/>
          <w:sz w:val="20"/>
          <w:szCs w:val="20"/>
        </w:rPr>
        <w:t>Gholamhossein</w:t>
      </w:r>
      <w:proofErr w:type="spellEnd"/>
      <w:r w:rsidRPr="004044F1">
        <w:rPr>
          <w:rFonts w:asciiTheme="majorBidi" w:hAnsiTheme="majorBidi" w:cstheme="majorBidi"/>
          <w:i/>
          <w:iCs/>
          <w:sz w:val="20"/>
          <w:szCs w:val="20"/>
        </w:rPr>
        <w:t xml:space="preserve"> </w:t>
      </w:r>
      <w:proofErr w:type="spellStart"/>
      <w:r w:rsidRPr="004044F1">
        <w:rPr>
          <w:rFonts w:asciiTheme="majorBidi" w:hAnsiTheme="majorBidi" w:cstheme="majorBidi"/>
          <w:i/>
          <w:iCs/>
          <w:sz w:val="20"/>
          <w:szCs w:val="20"/>
        </w:rPr>
        <w:t>Riazi</w:t>
      </w:r>
      <w:proofErr w:type="spellEnd"/>
    </w:p>
    <w:p w:rsidR="00E10477" w:rsidRDefault="00E10477" w:rsidP="00E10477">
      <w:pPr>
        <w:rPr>
          <w:rFonts w:asciiTheme="majorBidi" w:hAnsiTheme="majorBidi" w:cstheme="majorBidi"/>
          <w:i/>
          <w:iCs/>
          <w:sz w:val="20"/>
          <w:szCs w:val="20"/>
        </w:rPr>
      </w:pPr>
      <w:r>
        <w:rPr>
          <w:rFonts w:asciiTheme="majorBidi" w:hAnsiTheme="majorBidi" w:cstheme="majorBidi"/>
          <w:i/>
          <w:iCs/>
          <w:sz w:val="20"/>
          <w:szCs w:val="20"/>
        </w:rPr>
        <w:t>Institute of Biochemistry and Biophysics, University of Tehran, Tehran, Iran</w:t>
      </w:r>
    </w:p>
    <w:p w:rsidR="00E10477" w:rsidRDefault="00E10477" w:rsidP="00E10477">
      <w:pPr>
        <w:jc w:val="both"/>
      </w:pPr>
    </w:p>
    <w:p w:rsidR="00E10477" w:rsidRPr="00E10477" w:rsidRDefault="00E10477" w:rsidP="00E10477">
      <w:pPr>
        <w:ind w:firstLine="284"/>
        <w:rPr>
          <w:rFonts w:asciiTheme="majorBidi" w:hAnsiTheme="majorBidi" w:cstheme="majorBidi"/>
          <w:b/>
          <w:bCs/>
          <w:sz w:val="24"/>
          <w:szCs w:val="24"/>
        </w:rPr>
      </w:pPr>
      <w:r>
        <w:rPr>
          <w:rFonts w:asciiTheme="majorBidi" w:hAnsiTheme="majorBidi" w:cstheme="majorBidi"/>
          <w:b/>
          <w:bCs/>
          <w:sz w:val="24"/>
          <w:szCs w:val="24"/>
        </w:rPr>
        <w:t>Abstract</w:t>
      </w:r>
    </w:p>
    <w:p w:rsidR="0035104B" w:rsidRDefault="00E10477" w:rsidP="007A2C1E">
      <w:pPr>
        <w:ind w:firstLine="284"/>
        <w:jc w:val="both"/>
        <w:rPr>
          <w:rFonts w:asciiTheme="majorBidi" w:hAnsiTheme="majorBidi" w:cstheme="majorBidi"/>
          <w:sz w:val="24"/>
          <w:szCs w:val="24"/>
        </w:rPr>
      </w:pPr>
      <w:r w:rsidRPr="00E10477">
        <w:rPr>
          <w:rFonts w:asciiTheme="majorBidi" w:hAnsiTheme="majorBidi" w:cstheme="majorBidi"/>
          <w:sz w:val="24"/>
          <w:szCs w:val="24"/>
        </w:rPr>
        <w:t xml:space="preserve">Tau protein is a microtubule-associated protein which plays an important role in assembling the axonal microtubule. Aggregated tau is associated with most of the neurodegenerative diseases including Alzheimer's disease. On the other side, folic acid as a single-carbon unit donator could inhibit the aggregation of Tau through methylation of PP2A and activating it. Thus, the tau protein was extracted from E. coli BL21(DE3) carrying recombinant pET23expression vector containing 1N/4R tau gene and purified by using metal chelate affinity chromatography (MCAC). Subsequently, the interaction between the various concentrations of folic acid (0, 5, 10, 20, 40, and 50 µM) with tau protein (10µM) was studied through </w:t>
      </w:r>
      <w:proofErr w:type="spellStart"/>
      <w:r w:rsidRPr="00E10477">
        <w:rPr>
          <w:rFonts w:asciiTheme="majorBidi" w:hAnsiTheme="majorBidi" w:cstheme="majorBidi"/>
          <w:sz w:val="24"/>
          <w:szCs w:val="24"/>
        </w:rPr>
        <w:t>spectrofluorometer</w:t>
      </w:r>
      <w:proofErr w:type="spellEnd"/>
      <w:r w:rsidRPr="00E10477">
        <w:rPr>
          <w:rFonts w:asciiTheme="majorBidi" w:hAnsiTheme="majorBidi" w:cstheme="majorBidi"/>
          <w:sz w:val="24"/>
          <w:szCs w:val="24"/>
        </w:rPr>
        <w:t xml:space="preserve"> for fluorescence quantification as well as the process of tau aggregation. The data demonstrated that the quenching phenomenon resulting from the binding of folic acid to the tau was a static type and the number of bin</w:t>
      </w:r>
      <w:r w:rsidR="007A2C1E">
        <w:rPr>
          <w:rFonts w:asciiTheme="majorBidi" w:hAnsiTheme="majorBidi" w:cstheme="majorBidi"/>
          <w:sz w:val="24"/>
          <w:szCs w:val="24"/>
        </w:rPr>
        <w:t>ding sites on tau was one at 25</w:t>
      </w:r>
      <w:r w:rsidR="007A2C1E" w:rsidRPr="00E10477">
        <w:rPr>
          <w:rFonts w:ascii="Cambria Math" w:hAnsi="Cambria Math" w:cs="Cambria Math"/>
          <w:sz w:val="24"/>
          <w:szCs w:val="24"/>
        </w:rPr>
        <w:t>℃</w:t>
      </w:r>
      <w:r w:rsidR="007A2C1E">
        <w:rPr>
          <w:rFonts w:ascii="Cambria Math" w:hAnsi="Cambria Math" w:cs="Cambria Math"/>
          <w:sz w:val="24"/>
          <w:szCs w:val="24"/>
        </w:rPr>
        <w:t xml:space="preserve"> </w:t>
      </w:r>
      <w:r w:rsidRPr="00E10477">
        <w:rPr>
          <w:rFonts w:asciiTheme="majorBidi" w:hAnsiTheme="majorBidi" w:cstheme="majorBidi"/>
          <w:sz w:val="24"/>
          <w:szCs w:val="24"/>
        </w:rPr>
        <w:t xml:space="preserve">and 37 </w:t>
      </w:r>
      <w:r w:rsidRPr="00E10477">
        <w:rPr>
          <w:rFonts w:ascii="Cambria Math" w:hAnsi="Cambria Math" w:cs="Cambria Math"/>
          <w:sz w:val="24"/>
          <w:szCs w:val="24"/>
        </w:rPr>
        <w:t>℃</w:t>
      </w:r>
      <w:r w:rsidRPr="00E10477">
        <w:rPr>
          <w:rFonts w:asciiTheme="majorBidi" w:hAnsiTheme="majorBidi" w:cstheme="majorBidi"/>
          <w:sz w:val="24"/>
          <w:szCs w:val="24"/>
        </w:rPr>
        <w:t xml:space="preserve">. Moreover, 50 </w:t>
      </w:r>
      <w:r w:rsidRPr="00E10477">
        <w:rPr>
          <w:rFonts w:ascii="Times New Roman" w:hAnsi="Times New Roman" w:cs="Times New Roman"/>
          <w:sz w:val="24"/>
          <w:szCs w:val="24"/>
        </w:rPr>
        <w:t>µ</w:t>
      </w:r>
      <w:r w:rsidRPr="00E10477">
        <w:rPr>
          <w:rFonts w:asciiTheme="majorBidi" w:hAnsiTheme="majorBidi" w:cstheme="majorBidi"/>
          <w:sz w:val="24"/>
          <w:szCs w:val="24"/>
        </w:rPr>
        <w:t>M of folic acid caused the most inhibitory affection on tau aggregation. Our study showed that increasing concentration dependence of folic acid prevents the aggregation of tau protein considerably and could be presumed as an effective compound to reduce the risk of Alzheimer's disease.</w:t>
      </w:r>
    </w:p>
    <w:p w:rsidR="007A2C1E" w:rsidRPr="007A2C1E" w:rsidRDefault="007A2C1E" w:rsidP="003A7FB9">
      <w:pPr>
        <w:ind w:firstLine="284"/>
        <w:jc w:val="both"/>
        <w:rPr>
          <w:rFonts w:asciiTheme="majorBidi" w:hAnsiTheme="majorBidi" w:cstheme="majorBidi"/>
          <w:lang w:bidi="fa-IR"/>
        </w:rPr>
      </w:pPr>
      <w:r w:rsidRPr="007A2C1E">
        <w:rPr>
          <w:rStyle w:val="Emphasis"/>
          <w:rFonts w:asciiTheme="majorBidi" w:hAnsiTheme="majorBidi" w:cstheme="majorBidi"/>
          <w:b/>
          <w:bCs/>
          <w:i w:val="0"/>
          <w:iCs w:val="0"/>
          <w:shd w:val="clear" w:color="auto" w:fill="FFFFFF"/>
        </w:rPr>
        <w:t>Keywords:</w:t>
      </w:r>
      <w:r w:rsidRPr="007A2C1E">
        <w:rPr>
          <w:rStyle w:val="Emphasis"/>
          <w:rFonts w:asciiTheme="majorBidi" w:hAnsiTheme="majorBidi" w:cstheme="majorBidi"/>
          <w:b/>
          <w:bCs/>
          <w:i w:val="0"/>
          <w:iCs w:val="0"/>
          <w:sz w:val="24"/>
          <w:szCs w:val="24"/>
          <w:shd w:val="clear" w:color="auto" w:fill="FFFFFF"/>
        </w:rPr>
        <w:t xml:space="preserve"> </w:t>
      </w:r>
      <w:r w:rsidRPr="007A2C1E">
        <w:rPr>
          <w:rStyle w:val="Emphasis"/>
          <w:rFonts w:asciiTheme="majorBidi" w:hAnsiTheme="majorBidi" w:cstheme="majorBidi"/>
          <w:i w:val="0"/>
          <w:iCs w:val="0"/>
          <w:shd w:val="clear" w:color="auto" w:fill="FFFFFF"/>
        </w:rPr>
        <w:t xml:space="preserve">Tau; </w:t>
      </w:r>
      <w:r w:rsidR="003A7FB9">
        <w:rPr>
          <w:rStyle w:val="Emphasis"/>
          <w:rFonts w:asciiTheme="majorBidi" w:hAnsiTheme="majorBidi" w:cstheme="majorBidi"/>
          <w:i w:val="0"/>
          <w:iCs w:val="0"/>
          <w:shd w:val="clear" w:color="auto" w:fill="FFFFFF"/>
        </w:rPr>
        <w:t>Folic acid</w:t>
      </w:r>
      <w:bookmarkStart w:id="0" w:name="_GoBack"/>
      <w:bookmarkEnd w:id="0"/>
      <w:r w:rsidRPr="007A2C1E">
        <w:rPr>
          <w:rFonts w:asciiTheme="majorBidi" w:hAnsiTheme="majorBidi" w:cstheme="majorBidi"/>
          <w:lang w:bidi="fa-IR"/>
        </w:rPr>
        <w:t>; Aggregation; Alzheimer</w:t>
      </w:r>
    </w:p>
    <w:p w:rsidR="007A2C1E" w:rsidRDefault="007A2C1E" w:rsidP="007A2C1E">
      <w:pPr>
        <w:ind w:firstLine="284"/>
        <w:jc w:val="both"/>
        <w:rPr>
          <w:rFonts w:asciiTheme="majorBidi" w:hAnsiTheme="majorBidi" w:cstheme="majorBidi"/>
          <w:b/>
          <w:bCs/>
          <w:lang w:bidi="fa-IR"/>
        </w:rPr>
      </w:pPr>
      <w:r w:rsidRPr="001C4CA6">
        <w:rPr>
          <w:rFonts w:asciiTheme="majorBidi" w:hAnsiTheme="majorBidi" w:cstheme="majorBidi"/>
          <w:b/>
          <w:bCs/>
          <w:lang w:bidi="fa-IR"/>
        </w:rPr>
        <w:t>References:</w:t>
      </w:r>
      <w:r>
        <w:rPr>
          <w:rFonts w:asciiTheme="majorBidi" w:hAnsiTheme="majorBidi" w:cstheme="majorBidi"/>
          <w:b/>
          <w:bCs/>
          <w:lang w:bidi="fa-IR"/>
        </w:rPr>
        <w:t xml:space="preserve"> </w:t>
      </w:r>
    </w:p>
    <w:p w:rsidR="007A2C1E" w:rsidRDefault="007A2C1E" w:rsidP="007A2C1E">
      <w:pPr>
        <w:pStyle w:val="ListParagraph"/>
        <w:numPr>
          <w:ilvl w:val="0"/>
          <w:numId w:val="1"/>
        </w:numPr>
        <w:spacing w:after="200" w:line="276" w:lineRule="auto"/>
        <w:jc w:val="both"/>
        <w:rPr>
          <w:rFonts w:asciiTheme="majorBidi" w:hAnsiTheme="majorBidi" w:cstheme="majorBidi"/>
          <w:sz w:val="20"/>
          <w:szCs w:val="20"/>
        </w:rPr>
      </w:pPr>
      <w:proofErr w:type="spellStart"/>
      <w:r w:rsidRPr="00360BF5">
        <w:rPr>
          <w:rFonts w:asciiTheme="majorBidi" w:hAnsiTheme="majorBidi" w:cstheme="majorBidi"/>
          <w:sz w:val="20"/>
          <w:szCs w:val="20"/>
        </w:rPr>
        <w:t>Bottiglieri</w:t>
      </w:r>
      <w:proofErr w:type="spellEnd"/>
      <w:r w:rsidRPr="00360BF5">
        <w:rPr>
          <w:rFonts w:asciiTheme="majorBidi" w:hAnsiTheme="majorBidi" w:cstheme="majorBidi"/>
          <w:sz w:val="20"/>
          <w:szCs w:val="20"/>
        </w:rPr>
        <w:t xml:space="preserve">, T., 1996. Folate, vitamin B12, and neuropsychiatric disorders. </w:t>
      </w:r>
      <w:r w:rsidRPr="00360BF5">
        <w:rPr>
          <w:rFonts w:asciiTheme="majorBidi" w:hAnsiTheme="majorBidi" w:cstheme="majorBidi"/>
          <w:i/>
          <w:iCs/>
          <w:sz w:val="20"/>
          <w:szCs w:val="20"/>
        </w:rPr>
        <w:t>Nutrition reviews</w:t>
      </w:r>
      <w:r w:rsidRPr="00360BF5">
        <w:rPr>
          <w:rFonts w:asciiTheme="majorBidi" w:hAnsiTheme="majorBidi" w:cstheme="majorBidi"/>
          <w:sz w:val="20"/>
          <w:szCs w:val="20"/>
        </w:rPr>
        <w:t xml:space="preserve">, </w:t>
      </w:r>
      <w:r w:rsidRPr="00360BF5">
        <w:rPr>
          <w:rFonts w:asciiTheme="majorBidi" w:hAnsiTheme="majorBidi" w:cstheme="majorBidi"/>
          <w:i/>
          <w:iCs/>
          <w:sz w:val="20"/>
          <w:szCs w:val="20"/>
        </w:rPr>
        <w:t>54</w:t>
      </w:r>
      <w:r w:rsidRPr="00360BF5">
        <w:rPr>
          <w:rFonts w:asciiTheme="majorBidi" w:hAnsiTheme="majorBidi" w:cstheme="majorBidi"/>
          <w:sz w:val="20"/>
          <w:szCs w:val="20"/>
        </w:rPr>
        <w:t>(12), pp.382-390.</w:t>
      </w:r>
    </w:p>
    <w:p w:rsidR="007A2C1E" w:rsidRPr="00360BF5" w:rsidRDefault="007A2C1E" w:rsidP="007A2C1E">
      <w:pPr>
        <w:pStyle w:val="ListParagraph"/>
        <w:numPr>
          <w:ilvl w:val="0"/>
          <w:numId w:val="1"/>
        </w:numPr>
        <w:spacing w:after="0" w:line="240" w:lineRule="auto"/>
        <w:jc w:val="both"/>
        <w:rPr>
          <w:rFonts w:asciiTheme="majorBidi" w:hAnsiTheme="majorBidi" w:cstheme="majorBidi"/>
          <w:sz w:val="20"/>
          <w:szCs w:val="20"/>
          <w:rtl/>
        </w:rPr>
      </w:pPr>
      <w:proofErr w:type="spellStart"/>
      <w:r w:rsidRPr="00360BF5">
        <w:rPr>
          <w:rFonts w:asciiTheme="majorBidi" w:hAnsiTheme="majorBidi" w:cstheme="majorBidi"/>
          <w:sz w:val="20"/>
          <w:szCs w:val="20"/>
        </w:rPr>
        <w:t>Buée</w:t>
      </w:r>
      <w:proofErr w:type="spellEnd"/>
      <w:r w:rsidRPr="00360BF5">
        <w:rPr>
          <w:rFonts w:asciiTheme="majorBidi" w:hAnsiTheme="majorBidi" w:cstheme="majorBidi"/>
          <w:sz w:val="20"/>
          <w:szCs w:val="20"/>
        </w:rPr>
        <w:t xml:space="preserve">, L., </w:t>
      </w:r>
      <w:proofErr w:type="spellStart"/>
      <w:r w:rsidRPr="00360BF5">
        <w:rPr>
          <w:rFonts w:asciiTheme="majorBidi" w:hAnsiTheme="majorBidi" w:cstheme="majorBidi"/>
          <w:sz w:val="20"/>
          <w:szCs w:val="20"/>
        </w:rPr>
        <w:t>Bussiere</w:t>
      </w:r>
      <w:proofErr w:type="spellEnd"/>
      <w:r w:rsidRPr="00360BF5">
        <w:rPr>
          <w:rFonts w:asciiTheme="majorBidi" w:hAnsiTheme="majorBidi" w:cstheme="majorBidi"/>
          <w:sz w:val="20"/>
          <w:szCs w:val="20"/>
        </w:rPr>
        <w:t xml:space="preserve">, T., </w:t>
      </w:r>
      <w:proofErr w:type="spellStart"/>
      <w:r w:rsidRPr="00360BF5">
        <w:rPr>
          <w:rFonts w:asciiTheme="majorBidi" w:hAnsiTheme="majorBidi" w:cstheme="majorBidi"/>
          <w:sz w:val="20"/>
          <w:szCs w:val="20"/>
        </w:rPr>
        <w:t>Buée-Scherrer</w:t>
      </w:r>
      <w:proofErr w:type="spellEnd"/>
      <w:r w:rsidRPr="00360BF5">
        <w:rPr>
          <w:rFonts w:asciiTheme="majorBidi" w:hAnsiTheme="majorBidi" w:cstheme="majorBidi"/>
          <w:sz w:val="20"/>
          <w:szCs w:val="20"/>
        </w:rPr>
        <w:t xml:space="preserve">, V., </w:t>
      </w:r>
      <w:proofErr w:type="spellStart"/>
      <w:r w:rsidRPr="00360BF5">
        <w:rPr>
          <w:rFonts w:asciiTheme="majorBidi" w:hAnsiTheme="majorBidi" w:cstheme="majorBidi"/>
          <w:sz w:val="20"/>
          <w:szCs w:val="20"/>
        </w:rPr>
        <w:t>Delacourte</w:t>
      </w:r>
      <w:proofErr w:type="spellEnd"/>
      <w:r w:rsidRPr="00360BF5">
        <w:rPr>
          <w:rFonts w:asciiTheme="majorBidi" w:hAnsiTheme="majorBidi" w:cstheme="majorBidi"/>
          <w:sz w:val="20"/>
          <w:szCs w:val="20"/>
        </w:rPr>
        <w:t xml:space="preserve">, A. and Hof, P.R., 2000. Tau protein isoforms, phosphorylation and role in neurodegenerative disorders1. </w:t>
      </w:r>
      <w:r w:rsidRPr="00360BF5">
        <w:rPr>
          <w:rFonts w:asciiTheme="majorBidi" w:hAnsiTheme="majorBidi" w:cstheme="majorBidi"/>
          <w:i/>
          <w:iCs/>
          <w:sz w:val="20"/>
          <w:szCs w:val="20"/>
        </w:rPr>
        <w:t>Brain Research Reviews</w:t>
      </w:r>
      <w:r w:rsidRPr="00360BF5">
        <w:rPr>
          <w:rFonts w:asciiTheme="majorBidi" w:hAnsiTheme="majorBidi" w:cstheme="majorBidi"/>
          <w:sz w:val="20"/>
          <w:szCs w:val="20"/>
        </w:rPr>
        <w:t xml:space="preserve">, </w:t>
      </w:r>
      <w:r w:rsidRPr="00360BF5">
        <w:rPr>
          <w:rFonts w:asciiTheme="majorBidi" w:hAnsiTheme="majorBidi" w:cstheme="majorBidi"/>
          <w:i/>
          <w:iCs/>
          <w:sz w:val="20"/>
          <w:szCs w:val="20"/>
        </w:rPr>
        <w:t>33</w:t>
      </w:r>
      <w:r w:rsidRPr="00360BF5">
        <w:rPr>
          <w:rFonts w:asciiTheme="majorBidi" w:hAnsiTheme="majorBidi" w:cstheme="majorBidi"/>
          <w:sz w:val="20"/>
          <w:szCs w:val="20"/>
        </w:rPr>
        <w:t>(1), pp.95-130.</w:t>
      </w:r>
    </w:p>
    <w:p w:rsidR="007A2C1E" w:rsidRDefault="007A2C1E" w:rsidP="007A2C1E">
      <w:pPr>
        <w:pStyle w:val="ListParagraph"/>
        <w:numPr>
          <w:ilvl w:val="0"/>
          <w:numId w:val="1"/>
        </w:numPr>
        <w:spacing w:after="0" w:line="240" w:lineRule="auto"/>
        <w:jc w:val="both"/>
        <w:rPr>
          <w:rFonts w:asciiTheme="majorBidi" w:hAnsiTheme="majorBidi" w:cstheme="majorBidi"/>
          <w:sz w:val="20"/>
          <w:szCs w:val="20"/>
        </w:rPr>
      </w:pPr>
      <w:r w:rsidRPr="00292CE8">
        <w:rPr>
          <w:rFonts w:asciiTheme="majorBidi" w:hAnsiTheme="majorBidi" w:cstheme="majorBidi"/>
          <w:sz w:val="20"/>
          <w:szCs w:val="20"/>
        </w:rPr>
        <w:t xml:space="preserve">Cleveland, D.W., </w:t>
      </w:r>
      <w:proofErr w:type="spellStart"/>
      <w:r w:rsidRPr="00292CE8">
        <w:rPr>
          <w:rFonts w:asciiTheme="majorBidi" w:hAnsiTheme="majorBidi" w:cstheme="majorBidi"/>
          <w:sz w:val="20"/>
          <w:szCs w:val="20"/>
        </w:rPr>
        <w:t>Hwo</w:t>
      </w:r>
      <w:proofErr w:type="spellEnd"/>
      <w:r w:rsidRPr="00292CE8">
        <w:rPr>
          <w:rFonts w:asciiTheme="majorBidi" w:hAnsiTheme="majorBidi" w:cstheme="majorBidi"/>
          <w:sz w:val="20"/>
          <w:szCs w:val="20"/>
        </w:rPr>
        <w:t xml:space="preserve">, S.Y. and </w:t>
      </w:r>
      <w:proofErr w:type="spellStart"/>
      <w:r w:rsidRPr="00292CE8">
        <w:rPr>
          <w:rFonts w:asciiTheme="majorBidi" w:hAnsiTheme="majorBidi" w:cstheme="majorBidi"/>
          <w:sz w:val="20"/>
          <w:szCs w:val="20"/>
        </w:rPr>
        <w:t>Kirschner</w:t>
      </w:r>
      <w:proofErr w:type="spellEnd"/>
      <w:r w:rsidRPr="00292CE8">
        <w:rPr>
          <w:rFonts w:asciiTheme="majorBidi" w:hAnsiTheme="majorBidi" w:cstheme="majorBidi"/>
          <w:sz w:val="20"/>
          <w:szCs w:val="20"/>
        </w:rPr>
        <w:t xml:space="preserve">, M.W., 1977. Purification of tau, a microtubule-associated protein that induces assembly of microtubules from purified tubulin. </w:t>
      </w:r>
      <w:r w:rsidRPr="00292CE8">
        <w:rPr>
          <w:rFonts w:asciiTheme="majorBidi" w:hAnsiTheme="majorBidi" w:cstheme="majorBidi"/>
          <w:i/>
          <w:iCs/>
          <w:sz w:val="20"/>
          <w:szCs w:val="20"/>
        </w:rPr>
        <w:t>Journal of molecular biology</w:t>
      </w:r>
      <w:r w:rsidRPr="00292CE8">
        <w:rPr>
          <w:rFonts w:asciiTheme="majorBidi" w:hAnsiTheme="majorBidi" w:cstheme="majorBidi"/>
          <w:sz w:val="20"/>
          <w:szCs w:val="20"/>
        </w:rPr>
        <w:t xml:space="preserve">, </w:t>
      </w:r>
      <w:r w:rsidRPr="00292CE8">
        <w:rPr>
          <w:rFonts w:asciiTheme="majorBidi" w:hAnsiTheme="majorBidi" w:cstheme="majorBidi"/>
          <w:i/>
          <w:iCs/>
          <w:sz w:val="20"/>
          <w:szCs w:val="20"/>
        </w:rPr>
        <w:t>116</w:t>
      </w:r>
      <w:r w:rsidRPr="00292CE8">
        <w:rPr>
          <w:rFonts w:asciiTheme="majorBidi" w:hAnsiTheme="majorBidi" w:cstheme="majorBidi"/>
          <w:sz w:val="20"/>
          <w:szCs w:val="20"/>
        </w:rPr>
        <w:t>(2), pp.207-225.</w:t>
      </w:r>
    </w:p>
    <w:p w:rsidR="007A2C1E" w:rsidRPr="00EC0208" w:rsidRDefault="007A2C1E" w:rsidP="007A2C1E">
      <w:pPr>
        <w:pStyle w:val="ListParagraph"/>
        <w:numPr>
          <w:ilvl w:val="0"/>
          <w:numId w:val="1"/>
        </w:numPr>
        <w:spacing w:after="0" w:line="240" w:lineRule="auto"/>
        <w:jc w:val="both"/>
        <w:rPr>
          <w:rFonts w:asciiTheme="majorBidi" w:hAnsiTheme="majorBidi" w:cstheme="majorBidi"/>
          <w:sz w:val="20"/>
          <w:szCs w:val="20"/>
          <w:rtl/>
        </w:rPr>
      </w:pPr>
      <w:proofErr w:type="spellStart"/>
      <w:r w:rsidRPr="00292CE8">
        <w:rPr>
          <w:rFonts w:asciiTheme="majorBidi" w:hAnsiTheme="majorBidi" w:cstheme="majorBidi"/>
          <w:sz w:val="20"/>
          <w:szCs w:val="20"/>
        </w:rPr>
        <w:t>Jeganathan</w:t>
      </w:r>
      <w:proofErr w:type="spellEnd"/>
      <w:r w:rsidRPr="00292CE8">
        <w:rPr>
          <w:rFonts w:asciiTheme="majorBidi" w:hAnsiTheme="majorBidi" w:cstheme="majorBidi"/>
          <w:sz w:val="20"/>
          <w:szCs w:val="20"/>
        </w:rPr>
        <w:t xml:space="preserve">, S., von Bergen, M., </w:t>
      </w:r>
      <w:proofErr w:type="spellStart"/>
      <w:r w:rsidRPr="00292CE8">
        <w:rPr>
          <w:rFonts w:asciiTheme="majorBidi" w:hAnsiTheme="majorBidi" w:cstheme="majorBidi"/>
          <w:sz w:val="20"/>
          <w:szCs w:val="20"/>
        </w:rPr>
        <w:t>Mandelkow</w:t>
      </w:r>
      <w:proofErr w:type="spellEnd"/>
      <w:r w:rsidRPr="00292CE8">
        <w:rPr>
          <w:rFonts w:asciiTheme="majorBidi" w:hAnsiTheme="majorBidi" w:cstheme="majorBidi"/>
          <w:sz w:val="20"/>
          <w:szCs w:val="20"/>
        </w:rPr>
        <w:t xml:space="preserve">, E.M. and </w:t>
      </w:r>
      <w:proofErr w:type="spellStart"/>
      <w:r w:rsidRPr="00292CE8">
        <w:rPr>
          <w:rFonts w:asciiTheme="majorBidi" w:hAnsiTheme="majorBidi" w:cstheme="majorBidi"/>
          <w:sz w:val="20"/>
          <w:szCs w:val="20"/>
        </w:rPr>
        <w:t>Mandelkow</w:t>
      </w:r>
      <w:proofErr w:type="spellEnd"/>
      <w:r w:rsidRPr="00292CE8">
        <w:rPr>
          <w:rFonts w:asciiTheme="majorBidi" w:hAnsiTheme="majorBidi" w:cstheme="majorBidi"/>
          <w:sz w:val="20"/>
          <w:szCs w:val="20"/>
        </w:rPr>
        <w:t xml:space="preserve">, E., 2008. The natively unfolded character of tau and its aggregation to Alzheimer-like paired helical filaments. </w:t>
      </w:r>
      <w:r w:rsidRPr="00292CE8">
        <w:rPr>
          <w:rFonts w:asciiTheme="majorBidi" w:hAnsiTheme="majorBidi" w:cstheme="majorBidi"/>
          <w:i/>
          <w:iCs/>
          <w:sz w:val="20"/>
          <w:szCs w:val="20"/>
        </w:rPr>
        <w:t>Biochemistry</w:t>
      </w:r>
      <w:r w:rsidRPr="00292CE8">
        <w:rPr>
          <w:rFonts w:asciiTheme="majorBidi" w:hAnsiTheme="majorBidi" w:cstheme="majorBidi"/>
          <w:sz w:val="20"/>
          <w:szCs w:val="20"/>
        </w:rPr>
        <w:t xml:space="preserve">, </w:t>
      </w:r>
      <w:r w:rsidRPr="00292CE8">
        <w:rPr>
          <w:rFonts w:asciiTheme="majorBidi" w:hAnsiTheme="majorBidi" w:cstheme="majorBidi"/>
          <w:i/>
          <w:iCs/>
          <w:sz w:val="20"/>
          <w:szCs w:val="20"/>
        </w:rPr>
        <w:t>47</w:t>
      </w:r>
      <w:r w:rsidRPr="00292CE8">
        <w:rPr>
          <w:rFonts w:asciiTheme="majorBidi" w:hAnsiTheme="majorBidi" w:cstheme="majorBidi"/>
          <w:sz w:val="20"/>
          <w:szCs w:val="20"/>
        </w:rPr>
        <w:t>(40), pp.10526-10539.</w:t>
      </w:r>
    </w:p>
    <w:p w:rsidR="007A2C1E" w:rsidRPr="00292CE8" w:rsidRDefault="007A2C1E" w:rsidP="007A2C1E">
      <w:pPr>
        <w:pStyle w:val="ListParagraph"/>
        <w:numPr>
          <w:ilvl w:val="0"/>
          <w:numId w:val="1"/>
        </w:numPr>
        <w:spacing w:after="200" w:line="276" w:lineRule="auto"/>
        <w:jc w:val="both"/>
        <w:rPr>
          <w:rFonts w:asciiTheme="majorBidi" w:hAnsiTheme="majorBidi" w:cstheme="majorBidi"/>
          <w:sz w:val="20"/>
          <w:szCs w:val="20"/>
          <w:rtl/>
        </w:rPr>
      </w:pPr>
      <w:proofErr w:type="spellStart"/>
      <w:r w:rsidRPr="00292CE8">
        <w:rPr>
          <w:rFonts w:asciiTheme="majorBidi" w:hAnsiTheme="majorBidi" w:cstheme="majorBidi"/>
          <w:sz w:val="20"/>
          <w:szCs w:val="20"/>
        </w:rPr>
        <w:t>Evale</w:t>
      </w:r>
      <w:proofErr w:type="spellEnd"/>
      <w:r w:rsidRPr="00292CE8">
        <w:rPr>
          <w:rFonts w:asciiTheme="majorBidi" w:hAnsiTheme="majorBidi" w:cstheme="majorBidi"/>
          <w:sz w:val="20"/>
          <w:szCs w:val="20"/>
        </w:rPr>
        <w:t xml:space="preserve">, B.G. and </w:t>
      </w:r>
      <w:proofErr w:type="spellStart"/>
      <w:r w:rsidRPr="00292CE8">
        <w:rPr>
          <w:rFonts w:asciiTheme="majorBidi" w:hAnsiTheme="majorBidi" w:cstheme="majorBidi"/>
          <w:sz w:val="20"/>
          <w:szCs w:val="20"/>
        </w:rPr>
        <w:t>Hanagodimath</w:t>
      </w:r>
      <w:proofErr w:type="spellEnd"/>
      <w:r w:rsidRPr="00292CE8">
        <w:rPr>
          <w:rFonts w:asciiTheme="majorBidi" w:hAnsiTheme="majorBidi" w:cstheme="majorBidi"/>
          <w:sz w:val="20"/>
          <w:szCs w:val="20"/>
        </w:rPr>
        <w:t xml:space="preserve">, S.M., 2010. Static and dynamic quenching of biologically active </w:t>
      </w:r>
      <w:proofErr w:type="spellStart"/>
      <w:r w:rsidRPr="00292CE8">
        <w:rPr>
          <w:rFonts w:asciiTheme="majorBidi" w:hAnsiTheme="majorBidi" w:cstheme="majorBidi"/>
          <w:sz w:val="20"/>
          <w:szCs w:val="20"/>
        </w:rPr>
        <w:t>coumarin</w:t>
      </w:r>
      <w:proofErr w:type="spellEnd"/>
      <w:r w:rsidRPr="00292CE8">
        <w:rPr>
          <w:rFonts w:asciiTheme="majorBidi" w:hAnsiTheme="majorBidi" w:cstheme="majorBidi"/>
          <w:sz w:val="20"/>
          <w:szCs w:val="20"/>
        </w:rPr>
        <w:t xml:space="preserve"> derivative by aniline in benzene–acetonitrile mixtures. </w:t>
      </w:r>
      <w:r w:rsidRPr="00292CE8">
        <w:rPr>
          <w:rFonts w:asciiTheme="majorBidi" w:hAnsiTheme="majorBidi" w:cstheme="majorBidi"/>
          <w:i/>
          <w:iCs/>
          <w:sz w:val="20"/>
          <w:szCs w:val="20"/>
        </w:rPr>
        <w:t>Journal of Luminescence</w:t>
      </w:r>
      <w:r w:rsidRPr="00292CE8">
        <w:rPr>
          <w:rFonts w:asciiTheme="majorBidi" w:hAnsiTheme="majorBidi" w:cstheme="majorBidi"/>
          <w:sz w:val="20"/>
          <w:szCs w:val="20"/>
        </w:rPr>
        <w:t xml:space="preserve">, </w:t>
      </w:r>
      <w:r w:rsidRPr="00292CE8">
        <w:rPr>
          <w:rFonts w:asciiTheme="majorBidi" w:hAnsiTheme="majorBidi" w:cstheme="majorBidi"/>
          <w:i/>
          <w:iCs/>
          <w:sz w:val="20"/>
          <w:szCs w:val="20"/>
        </w:rPr>
        <w:t>130</w:t>
      </w:r>
      <w:r w:rsidRPr="00292CE8">
        <w:rPr>
          <w:rFonts w:asciiTheme="majorBidi" w:hAnsiTheme="majorBidi" w:cstheme="majorBidi"/>
          <w:sz w:val="20"/>
          <w:szCs w:val="20"/>
        </w:rPr>
        <w:t>(8), pp.1330-1337.</w:t>
      </w:r>
    </w:p>
    <w:p w:rsidR="007A2C1E" w:rsidRPr="00E10477" w:rsidRDefault="007A2C1E" w:rsidP="00E10477">
      <w:pPr>
        <w:ind w:firstLine="284"/>
        <w:jc w:val="both"/>
        <w:rPr>
          <w:rFonts w:asciiTheme="majorBidi" w:hAnsiTheme="majorBidi" w:cstheme="majorBidi"/>
          <w:sz w:val="24"/>
          <w:szCs w:val="24"/>
        </w:rPr>
      </w:pPr>
    </w:p>
    <w:sectPr w:rsidR="007A2C1E" w:rsidRPr="00E104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C1B90"/>
    <w:multiLevelType w:val="hybridMultilevel"/>
    <w:tmpl w:val="0C66137E"/>
    <w:lvl w:ilvl="0" w:tplc="295AAB5C">
      <w:start w:val="1"/>
      <w:numFmt w:val="decimal"/>
      <w:lvlText w:val="%1."/>
      <w:lvlJc w:val="left"/>
      <w:pPr>
        <w:ind w:left="720" w:hanging="360"/>
      </w:pPr>
      <w:rPr>
        <w:b w:val="0"/>
        <w:b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477"/>
    <w:rsid w:val="00016616"/>
    <w:rsid w:val="00020685"/>
    <w:rsid w:val="00045882"/>
    <w:rsid w:val="000947C2"/>
    <w:rsid w:val="000C5D93"/>
    <w:rsid w:val="000D015C"/>
    <w:rsid w:val="001801E1"/>
    <w:rsid w:val="001B5184"/>
    <w:rsid w:val="00210F8F"/>
    <w:rsid w:val="0035104B"/>
    <w:rsid w:val="003A7FB9"/>
    <w:rsid w:val="003E7064"/>
    <w:rsid w:val="00401D3C"/>
    <w:rsid w:val="0041485A"/>
    <w:rsid w:val="00455FA5"/>
    <w:rsid w:val="00486FB5"/>
    <w:rsid w:val="004B2F77"/>
    <w:rsid w:val="004F5114"/>
    <w:rsid w:val="005E1A9E"/>
    <w:rsid w:val="00600F26"/>
    <w:rsid w:val="00665D72"/>
    <w:rsid w:val="00686F9F"/>
    <w:rsid w:val="006C57B1"/>
    <w:rsid w:val="007945E1"/>
    <w:rsid w:val="007A2C1E"/>
    <w:rsid w:val="007B4D12"/>
    <w:rsid w:val="007D4607"/>
    <w:rsid w:val="008006A8"/>
    <w:rsid w:val="00892157"/>
    <w:rsid w:val="008E3A3E"/>
    <w:rsid w:val="00924D74"/>
    <w:rsid w:val="00936E02"/>
    <w:rsid w:val="00963692"/>
    <w:rsid w:val="00967865"/>
    <w:rsid w:val="009E7BCB"/>
    <w:rsid w:val="00A61A4C"/>
    <w:rsid w:val="00A877B5"/>
    <w:rsid w:val="00B66D6B"/>
    <w:rsid w:val="00B907A6"/>
    <w:rsid w:val="00BE6F4F"/>
    <w:rsid w:val="00C0283B"/>
    <w:rsid w:val="00CB694B"/>
    <w:rsid w:val="00D22A07"/>
    <w:rsid w:val="00DB0C90"/>
    <w:rsid w:val="00DC3765"/>
    <w:rsid w:val="00DE5ECF"/>
    <w:rsid w:val="00DF7A4C"/>
    <w:rsid w:val="00E10477"/>
    <w:rsid w:val="00E71743"/>
    <w:rsid w:val="00E93366"/>
    <w:rsid w:val="00ED372C"/>
    <w:rsid w:val="00EF6A97"/>
    <w:rsid w:val="00F4281B"/>
    <w:rsid w:val="00FB07E4"/>
    <w:rsid w:val="00FC22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F340"/>
  <w15:chartTrackingRefBased/>
  <w15:docId w15:val="{8D840914-FEEC-4EB6-9A83-B8B9D3273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4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A2C1E"/>
    <w:rPr>
      <w:i/>
      <w:iCs/>
    </w:rPr>
  </w:style>
  <w:style w:type="paragraph" w:styleId="ListParagraph">
    <w:name w:val="List Paragraph"/>
    <w:basedOn w:val="Normal"/>
    <w:link w:val="ListParagraphChar"/>
    <w:uiPriority w:val="34"/>
    <w:qFormat/>
    <w:rsid w:val="007A2C1E"/>
    <w:pPr>
      <w:ind w:left="720"/>
      <w:contextualSpacing/>
    </w:pPr>
  </w:style>
  <w:style w:type="character" w:customStyle="1" w:styleId="ListParagraphChar">
    <w:name w:val="List Paragraph Char"/>
    <w:link w:val="ListParagraph"/>
    <w:uiPriority w:val="34"/>
    <w:locked/>
    <w:rsid w:val="007A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dc:creator>
  <cp:keywords/>
  <dc:description/>
  <cp:lastModifiedBy>Hadi</cp:lastModifiedBy>
  <cp:revision>3</cp:revision>
  <cp:lastPrinted>2019-04-24T18:13:00Z</cp:lastPrinted>
  <dcterms:created xsi:type="dcterms:W3CDTF">2019-04-24T18:11:00Z</dcterms:created>
  <dcterms:modified xsi:type="dcterms:W3CDTF">2019-04-24T18:14:00Z</dcterms:modified>
</cp:coreProperties>
</file>